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AF8" w:rsidRPr="0018646B" w:rsidRDefault="007C1887" w:rsidP="001A196B">
      <w:pPr>
        <w:jc w:val="center"/>
        <w:rPr>
          <w:b/>
          <w:noProof/>
        </w:rPr>
      </w:pPr>
      <w:r w:rsidRPr="0018646B">
        <w:rPr>
          <w:b/>
          <w:smallCaps/>
          <w:noProof/>
        </w:rPr>
        <w:t>N</w:t>
      </w:r>
      <w:r w:rsidR="002F20A7" w:rsidRPr="0018646B">
        <w:rPr>
          <w:b/>
          <w:smallCaps/>
          <w:noProof/>
        </w:rPr>
        <w:t>ational Quality Forum</w:t>
      </w:r>
      <w:r w:rsidR="002F20A7" w:rsidRPr="0018646B">
        <w:rPr>
          <w:b/>
          <w:noProof/>
        </w:rPr>
        <w:t>—</w:t>
      </w:r>
      <w:r w:rsidR="00496AF8" w:rsidRPr="0018646B">
        <w:rPr>
          <w:b/>
          <w:noProof/>
        </w:rPr>
        <w:t>Evidence (</w:t>
      </w:r>
      <w:r w:rsidR="00BE2295" w:rsidRPr="0018646B">
        <w:rPr>
          <w:b/>
          <w:noProof/>
        </w:rPr>
        <w:t>subcrite</w:t>
      </w:r>
      <w:r w:rsidR="00617390" w:rsidRPr="0018646B">
        <w:rPr>
          <w:b/>
          <w:noProof/>
        </w:rPr>
        <w:t>r</w:t>
      </w:r>
      <w:r w:rsidR="00BE2295" w:rsidRPr="0018646B">
        <w:rPr>
          <w:b/>
          <w:noProof/>
        </w:rPr>
        <w:t xml:space="preserve">ion </w:t>
      </w:r>
      <w:r w:rsidR="00496AF8" w:rsidRPr="0018646B">
        <w:rPr>
          <w:b/>
          <w:noProof/>
        </w:rPr>
        <w:t>1</w:t>
      </w:r>
      <w:r w:rsidR="00B117D0" w:rsidRPr="0018646B">
        <w:rPr>
          <w:b/>
          <w:noProof/>
        </w:rPr>
        <w:t>a</w:t>
      </w:r>
      <w:r w:rsidR="00496AF8" w:rsidRPr="0018646B">
        <w:rPr>
          <w:b/>
          <w:noProof/>
        </w:rPr>
        <w:t>)</w:t>
      </w:r>
      <w:r w:rsidR="002717C7" w:rsidRPr="0018646B">
        <w:rPr>
          <w:b/>
          <w:noProof/>
        </w:rPr>
        <w:t xml:space="preserve"> </w:t>
      </w:r>
    </w:p>
    <w:p w:rsidR="00496AF8" w:rsidRPr="0018646B" w:rsidRDefault="00496AF8" w:rsidP="002E2177">
      <w:pPr>
        <w:ind w:left="0" w:firstLine="0"/>
        <w:rPr>
          <w:noProof/>
        </w:rPr>
      </w:pPr>
    </w:p>
    <w:p w:rsidR="004F7D7E" w:rsidRPr="0018646B" w:rsidRDefault="004F7D7E" w:rsidP="002E2177">
      <w:pPr>
        <w:ind w:left="0" w:firstLine="0"/>
        <w:rPr>
          <w:b/>
          <w:noProof/>
        </w:rPr>
      </w:pPr>
      <w:r w:rsidRPr="0018646B">
        <w:rPr>
          <w:rFonts w:cstheme="minorHAnsi"/>
          <w:b/>
          <w:noProof/>
        </w:rPr>
        <w:t xml:space="preserve">Measure Number </w:t>
      </w:r>
      <w:r w:rsidRPr="0018646B">
        <w:rPr>
          <w:rFonts w:cstheme="minorHAnsi"/>
          <w:noProof/>
        </w:rPr>
        <w:t>(</w:t>
      </w:r>
      <w:r w:rsidRPr="0018646B">
        <w:rPr>
          <w:rFonts w:cstheme="minorHAnsi"/>
          <w:i/>
          <w:noProof/>
        </w:rPr>
        <w:t>if previously endorsed</w:t>
      </w:r>
      <w:r w:rsidRPr="0018646B">
        <w:rPr>
          <w:rFonts w:cstheme="minorHAnsi"/>
          <w:noProof/>
        </w:rPr>
        <w:t>)</w:t>
      </w:r>
      <w:r w:rsidRPr="0018646B">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18646B">
            <w:rPr>
              <w:rStyle w:val="PlaceholderText"/>
            </w:rPr>
            <w:t>Click here to enter NQF number</w:t>
          </w:r>
        </w:sdtContent>
      </w:sdt>
    </w:p>
    <w:p w:rsidR="00496AF8" w:rsidRPr="0018646B" w:rsidRDefault="00496AF8" w:rsidP="002E2177">
      <w:pPr>
        <w:ind w:left="0" w:firstLine="0"/>
        <w:rPr>
          <w:noProof/>
        </w:rPr>
      </w:pPr>
      <w:r w:rsidRPr="0018646B">
        <w:rPr>
          <w:b/>
          <w:noProof/>
        </w:rPr>
        <w:t>Measure Title</w:t>
      </w:r>
      <w:r w:rsidRPr="0018646B">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1B1916" w:rsidRPr="0018646B">
            <w:rPr>
              <w:rStyle w:val="Style1"/>
            </w:rPr>
            <w:t>HIV Viral Load Suppression</w:t>
          </w:r>
          <w:r w:rsidR="000419EB" w:rsidRPr="0018646B">
            <w:rPr>
              <w:rStyle w:val="Style1"/>
            </w:rPr>
            <w:t xml:space="preserve"> (Population Level)</w:t>
          </w:r>
        </w:sdtContent>
      </w:sdt>
    </w:p>
    <w:p w:rsidR="00E97E59" w:rsidRPr="0018646B" w:rsidRDefault="00E97E59" w:rsidP="002E2177">
      <w:pPr>
        <w:ind w:left="0" w:firstLine="0"/>
        <w:rPr>
          <w:b/>
          <w:noProof/>
        </w:rPr>
      </w:pPr>
      <w:r w:rsidRPr="0018646B">
        <w:rPr>
          <w:i/>
          <w:noProof/>
        </w:rPr>
        <w:t xml:space="preserve"> </w:t>
      </w:r>
      <w:r w:rsidR="00024526" w:rsidRPr="0018646B">
        <w:rPr>
          <w:b/>
          <w:noProof/>
        </w:rPr>
        <w:t xml:space="preserve">IF </w:t>
      </w:r>
      <w:r w:rsidR="00176E60" w:rsidRPr="0018646B">
        <w:rPr>
          <w:b/>
          <w:noProof/>
        </w:rPr>
        <w:t xml:space="preserve">the measure is </w:t>
      </w:r>
      <w:r w:rsidR="00024526" w:rsidRPr="0018646B">
        <w:rPr>
          <w:b/>
          <w:noProof/>
        </w:rPr>
        <w:t xml:space="preserve">a component in </w:t>
      </w:r>
      <w:r w:rsidR="00176E60" w:rsidRPr="0018646B">
        <w:rPr>
          <w:b/>
          <w:noProof/>
        </w:rPr>
        <w:t>a composite performance measure, provide the</w:t>
      </w:r>
      <w:r w:rsidR="008B652E" w:rsidRPr="0018646B">
        <w:rPr>
          <w:b/>
          <w:noProof/>
        </w:rPr>
        <w:t xml:space="preserve"> </w:t>
      </w:r>
      <w:r w:rsidR="00114848" w:rsidRPr="0018646B">
        <w:rPr>
          <w:b/>
          <w:noProof/>
        </w:rPr>
        <w:t xml:space="preserve">title of the </w:t>
      </w:r>
      <w:r w:rsidRPr="0018646B">
        <w:rPr>
          <w:b/>
          <w:noProof/>
        </w:rPr>
        <w:t>Compo</w:t>
      </w:r>
      <w:r w:rsidR="00736E0F" w:rsidRPr="0018646B">
        <w:rPr>
          <w:b/>
          <w:noProof/>
        </w:rPr>
        <w:t>site</w:t>
      </w:r>
      <w:r w:rsidRPr="0018646B">
        <w:rPr>
          <w:b/>
          <w:noProof/>
        </w:rPr>
        <w:t xml:space="preserve"> Measure </w:t>
      </w:r>
      <w:r w:rsidR="00114848" w:rsidRPr="0018646B">
        <w:rPr>
          <w:b/>
          <w:noProof/>
        </w:rPr>
        <w:t>here</w:t>
      </w:r>
      <w:r w:rsidRPr="0018646B">
        <w:rPr>
          <w:b/>
          <w:noProof/>
        </w:rPr>
        <w:t>:</w:t>
      </w:r>
      <w:r w:rsidRPr="0018646B">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604047" w:rsidRPr="0018646B">
            <w:rPr>
              <w:rStyle w:val="Style1"/>
            </w:rPr>
            <w:t>Not Applicable</w:t>
          </w:r>
        </w:sdtContent>
      </w:sdt>
    </w:p>
    <w:p w:rsidR="00114848" w:rsidRPr="0018646B" w:rsidRDefault="00114848" w:rsidP="002E2177">
      <w:pPr>
        <w:ind w:left="0" w:firstLine="0"/>
        <w:rPr>
          <w:b/>
          <w:noProof/>
        </w:rPr>
      </w:pPr>
    </w:p>
    <w:p w:rsidR="00496AF8" w:rsidRPr="0018646B" w:rsidRDefault="00496AF8" w:rsidP="002E2177">
      <w:pPr>
        <w:ind w:left="0" w:firstLine="0"/>
        <w:rPr>
          <w:rStyle w:val="Style2"/>
        </w:rPr>
      </w:pPr>
      <w:r w:rsidRPr="0018646B">
        <w:rPr>
          <w:b/>
          <w:noProof/>
        </w:rPr>
        <w:t>Date of Submission</w:t>
      </w:r>
      <w:r w:rsidRPr="0018646B">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18646B">
            <w:rPr>
              <w:rStyle w:val="PlaceholderText"/>
              <w:rFonts w:cstheme="minorHAnsi"/>
              <w:color w:val="A6A6A6" w:themeColor="background1" w:themeShade="A6"/>
            </w:rPr>
            <w:t>Click here to enter a date</w:t>
          </w:r>
        </w:sdtContent>
      </w:sdt>
    </w:p>
    <w:p w:rsidR="00176E60" w:rsidRPr="0018646B"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18646B" w:rsidTr="00176E60">
        <w:trPr>
          <w:jc w:val="center"/>
        </w:trPr>
        <w:tc>
          <w:tcPr>
            <w:tcW w:w="9576" w:type="dxa"/>
          </w:tcPr>
          <w:p w:rsidR="00114848" w:rsidRPr="0018646B" w:rsidRDefault="00114848" w:rsidP="00114848">
            <w:pPr>
              <w:pStyle w:val="CommentText"/>
              <w:ind w:left="0" w:firstLine="0"/>
              <w:rPr>
                <w:b/>
                <w:i/>
                <w:sz w:val="22"/>
                <w:szCs w:val="22"/>
              </w:rPr>
            </w:pPr>
            <w:r w:rsidRPr="0018646B">
              <w:rPr>
                <w:rFonts w:cstheme="minorHAnsi"/>
                <w:b/>
                <w:noProof/>
                <w:sz w:val="22"/>
                <w:szCs w:val="22"/>
              </w:rPr>
              <w:t>Instructions</w:t>
            </w:r>
          </w:p>
          <w:p w:rsidR="00024526" w:rsidRPr="0018646B" w:rsidRDefault="00024526" w:rsidP="00024526">
            <w:pPr>
              <w:pStyle w:val="CommentText"/>
              <w:numPr>
                <w:ilvl w:val="0"/>
                <w:numId w:val="5"/>
              </w:numPr>
              <w:rPr>
                <w:i/>
                <w:sz w:val="22"/>
                <w:szCs w:val="22"/>
              </w:rPr>
            </w:pPr>
            <w:r w:rsidRPr="0018646B">
              <w:rPr>
                <w:i/>
                <w:sz w:val="22"/>
                <w:szCs w:val="22"/>
              </w:rPr>
              <w:t xml:space="preserve">For composite performance measures:  </w:t>
            </w:r>
          </w:p>
          <w:p w:rsidR="00024526" w:rsidRPr="0018646B" w:rsidRDefault="00024526" w:rsidP="00A421D4">
            <w:pPr>
              <w:pStyle w:val="CommentText"/>
              <w:numPr>
                <w:ilvl w:val="1"/>
                <w:numId w:val="5"/>
              </w:numPr>
              <w:ind w:left="792"/>
              <w:rPr>
                <w:i/>
                <w:sz w:val="22"/>
                <w:szCs w:val="22"/>
              </w:rPr>
            </w:pPr>
            <w:r w:rsidRPr="0018646B">
              <w:rPr>
                <w:i/>
                <w:sz w:val="22"/>
                <w:szCs w:val="22"/>
              </w:rPr>
              <w:t xml:space="preserve"> A separate evidence form is required for each component measure unless several components were studied together.</w:t>
            </w:r>
          </w:p>
          <w:p w:rsidR="00024526" w:rsidRPr="0018646B" w:rsidRDefault="00024526" w:rsidP="00A421D4">
            <w:pPr>
              <w:pStyle w:val="CommentText"/>
              <w:numPr>
                <w:ilvl w:val="1"/>
                <w:numId w:val="5"/>
              </w:numPr>
              <w:ind w:left="792"/>
              <w:rPr>
                <w:i/>
                <w:sz w:val="22"/>
                <w:szCs w:val="22"/>
              </w:rPr>
            </w:pPr>
            <w:r w:rsidRPr="0018646B">
              <w:rPr>
                <w:i/>
                <w:sz w:val="22"/>
                <w:szCs w:val="22"/>
              </w:rPr>
              <w:t xml:space="preserve"> If a component measure is submitted as an individual performance measure, attach the evidence form to the individual measure submission.</w:t>
            </w:r>
          </w:p>
          <w:p w:rsidR="002F20A7" w:rsidRPr="0018646B" w:rsidRDefault="002F20A7" w:rsidP="00024526">
            <w:pPr>
              <w:pStyle w:val="ListParagraph"/>
              <w:numPr>
                <w:ilvl w:val="0"/>
                <w:numId w:val="5"/>
              </w:numPr>
              <w:spacing w:after="0" w:line="240" w:lineRule="auto"/>
            </w:pPr>
            <w:r w:rsidRPr="0018646B">
              <w:t xml:space="preserve">Respond to </w:t>
            </w:r>
            <w:r w:rsidR="00440687" w:rsidRPr="0018646B">
              <w:rPr>
                <w:u w:val="single"/>
              </w:rPr>
              <w:t>all</w:t>
            </w:r>
            <w:r w:rsidR="00440687" w:rsidRPr="0018646B">
              <w:t xml:space="preserve"> </w:t>
            </w:r>
            <w:r w:rsidRPr="0018646B">
              <w:t xml:space="preserve">questions </w:t>
            </w:r>
            <w:r w:rsidR="00440687" w:rsidRPr="0018646B">
              <w:t xml:space="preserve">as instructed </w:t>
            </w:r>
            <w:r w:rsidRPr="0018646B">
              <w:t>with answers imm</w:t>
            </w:r>
            <w:r w:rsidR="000A0810" w:rsidRPr="0018646B">
              <w:t>ediately following the question</w:t>
            </w:r>
            <w:r w:rsidRPr="0018646B">
              <w:t>.</w:t>
            </w:r>
            <w:r w:rsidR="008B652E" w:rsidRPr="0018646B">
              <w:t xml:space="preserve"> All information needed to demonstrate meeting the </w:t>
            </w:r>
            <w:r w:rsidR="008B652E" w:rsidRPr="0018646B">
              <w:rPr>
                <w:rFonts w:cstheme="minorHAnsi"/>
              </w:rPr>
              <w:t xml:space="preserve">evidence </w:t>
            </w:r>
            <w:r w:rsidR="00A13867" w:rsidRPr="0018646B">
              <w:rPr>
                <w:rFonts w:cstheme="minorHAnsi"/>
              </w:rPr>
              <w:t>sub</w:t>
            </w:r>
            <w:r w:rsidR="008B652E" w:rsidRPr="0018646B">
              <w:rPr>
                <w:rFonts w:cstheme="minorHAnsi"/>
              </w:rPr>
              <w:t>criterion (1a)</w:t>
            </w:r>
            <w:r w:rsidR="008B652E" w:rsidRPr="0018646B">
              <w:t xml:space="preserve"> must be in this form.  An appendix of </w:t>
            </w:r>
            <w:r w:rsidR="008B652E" w:rsidRPr="0018646B">
              <w:rPr>
                <w:i/>
              </w:rPr>
              <w:t>supplemental</w:t>
            </w:r>
            <w:r w:rsidR="008B652E" w:rsidRPr="0018646B">
              <w:t xml:space="preserve"> materials may be submitted, but there is no guarantee it will be reviewed.</w:t>
            </w:r>
          </w:p>
          <w:p w:rsidR="0015535B" w:rsidRPr="0018646B" w:rsidRDefault="0015535B" w:rsidP="00024526">
            <w:pPr>
              <w:pStyle w:val="ListParagraph"/>
              <w:numPr>
                <w:ilvl w:val="0"/>
                <w:numId w:val="5"/>
              </w:numPr>
              <w:spacing w:after="0" w:line="240" w:lineRule="auto"/>
            </w:pPr>
            <w:r w:rsidRPr="0018646B">
              <w:t>If yo</w:t>
            </w:r>
            <w:r w:rsidR="008B652E" w:rsidRPr="0018646B">
              <w:t>u are unable to check a</w:t>
            </w:r>
            <w:r w:rsidR="00114848" w:rsidRPr="0018646B">
              <w:t xml:space="preserve"> box, please highlight or </w:t>
            </w:r>
            <w:r w:rsidRPr="0018646B">
              <w:t>shade the box for your response.</w:t>
            </w:r>
          </w:p>
          <w:p w:rsidR="00496AF8" w:rsidRPr="0018646B" w:rsidRDefault="002F20A7" w:rsidP="008B652E">
            <w:pPr>
              <w:pStyle w:val="ListParagraph"/>
              <w:numPr>
                <w:ilvl w:val="0"/>
                <w:numId w:val="5"/>
              </w:numPr>
              <w:spacing w:after="0" w:line="240" w:lineRule="auto"/>
            </w:pPr>
            <w:r w:rsidRPr="0018646B">
              <w:t xml:space="preserve">Maximum of </w:t>
            </w:r>
            <w:r w:rsidR="00235ADC" w:rsidRPr="0018646B">
              <w:t>10</w:t>
            </w:r>
            <w:r w:rsidR="00A421D4" w:rsidRPr="0018646B">
              <w:t xml:space="preserve"> pages (</w:t>
            </w:r>
            <w:r w:rsidR="00114848" w:rsidRPr="0018646B">
              <w:rPr>
                <w:i/>
              </w:rPr>
              <w:t>incudes questions/instructions</w:t>
            </w:r>
            <w:r w:rsidRPr="0018646B">
              <w:t>; minimum font size 11 pt</w:t>
            </w:r>
            <w:r w:rsidR="00114848" w:rsidRPr="0018646B">
              <w:t>; do not change margins).</w:t>
            </w:r>
            <w:r w:rsidR="0088371C" w:rsidRPr="0018646B">
              <w:t xml:space="preserve"> </w:t>
            </w:r>
            <w:r w:rsidR="009E37BD" w:rsidRPr="0018646B">
              <w:rPr>
                <w:b/>
                <w:i/>
              </w:rPr>
              <w:t xml:space="preserve">Contact </w:t>
            </w:r>
            <w:r w:rsidR="008B652E" w:rsidRPr="0018646B">
              <w:rPr>
                <w:b/>
                <w:i/>
              </w:rPr>
              <w:t xml:space="preserve">NQF </w:t>
            </w:r>
            <w:r w:rsidR="0014347E" w:rsidRPr="0018646B">
              <w:rPr>
                <w:b/>
                <w:i/>
              </w:rPr>
              <w:t>staff if more pages are needed</w:t>
            </w:r>
            <w:r w:rsidR="009E37BD" w:rsidRPr="0018646B">
              <w:rPr>
                <w:b/>
                <w:i/>
              </w:rPr>
              <w:t>.</w:t>
            </w:r>
          </w:p>
          <w:p w:rsidR="00496AF8" w:rsidRPr="0018646B" w:rsidRDefault="00457E46" w:rsidP="0014347E">
            <w:pPr>
              <w:pStyle w:val="ListParagraph"/>
              <w:numPr>
                <w:ilvl w:val="0"/>
                <w:numId w:val="5"/>
              </w:numPr>
              <w:spacing w:after="0" w:line="240" w:lineRule="auto"/>
              <w:rPr>
                <w:u w:val="single"/>
              </w:rPr>
            </w:pPr>
            <w:r w:rsidRPr="0018646B">
              <w:t xml:space="preserve">Contact NQF staff regarding questions. Check for resources at </w:t>
            </w:r>
            <w:hyperlink r:id="rId12" w:history="1">
              <w:r w:rsidRPr="0018646B">
                <w:rPr>
                  <w:rStyle w:val="Hyperlink"/>
                </w:rPr>
                <w:t>Submitting Standards webpage</w:t>
              </w:r>
            </w:hyperlink>
            <w:r w:rsidRPr="0018646B">
              <w:t>.</w:t>
            </w:r>
          </w:p>
        </w:tc>
      </w:tr>
    </w:tbl>
    <w:p w:rsidR="00176E60" w:rsidRPr="0018646B"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18646B" w:rsidTr="00176E60">
        <w:trPr>
          <w:jc w:val="center"/>
        </w:trPr>
        <w:tc>
          <w:tcPr>
            <w:tcW w:w="9576" w:type="dxa"/>
          </w:tcPr>
          <w:p w:rsidR="008B652E" w:rsidRPr="0018646B" w:rsidRDefault="007573F0" w:rsidP="008B652E">
            <w:pPr>
              <w:ind w:left="0" w:firstLine="0"/>
            </w:pPr>
            <w:r w:rsidRPr="0018646B">
              <w:rPr>
                <w:b/>
                <w:bCs/>
                <w:u w:val="single"/>
              </w:rPr>
              <w:t>Note</w:t>
            </w:r>
            <w:r w:rsidRPr="0018646B">
              <w:rPr>
                <w:b/>
                <w:bCs/>
              </w:rPr>
              <w:t xml:space="preserve">: </w:t>
            </w:r>
            <w:r w:rsidR="008B652E" w:rsidRPr="0018646B">
              <w:rPr>
                <w:b/>
                <w:bCs/>
              </w:rPr>
              <w:t>The information provided in this form is intended to aid the Steering Committee and other stakeholders in understanding to what degree the evidence for this measure meets NQF’s evaluation criteria.</w:t>
            </w:r>
          </w:p>
          <w:p w:rsidR="008659ED" w:rsidRPr="0018646B" w:rsidRDefault="008659ED" w:rsidP="008659ED">
            <w:pPr>
              <w:ind w:left="90" w:hanging="90"/>
            </w:pPr>
            <w:bookmarkStart w:id="0" w:name="Note2"/>
            <w:bookmarkEnd w:id="0"/>
          </w:p>
          <w:p w:rsidR="008659ED" w:rsidRPr="0018646B" w:rsidRDefault="008659ED" w:rsidP="008659ED">
            <w:pPr>
              <w:pStyle w:val="Heading3"/>
              <w:rPr>
                <w:rFonts w:asciiTheme="minorHAnsi" w:hAnsiTheme="minorHAnsi"/>
              </w:rPr>
            </w:pPr>
            <w:r w:rsidRPr="0018646B">
              <w:rPr>
                <w:rFonts w:asciiTheme="minorHAnsi" w:hAnsiTheme="minorHAnsi"/>
              </w:rPr>
              <w:t xml:space="preserve">1a. Evidence to Support the Measure Focus  </w:t>
            </w:r>
          </w:p>
          <w:p w:rsidR="008659ED" w:rsidRPr="0018646B" w:rsidRDefault="008659ED" w:rsidP="008659ED">
            <w:pPr>
              <w:rPr>
                <w:rFonts w:eastAsia="Calibri" w:cs="Calibri"/>
              </w:rPr>
            </w:pPr>
            <w:r w:rsidRPr="0018646B">
              <w:rPr>
                <w:rFonts w:eastAsia="Calibri" w:cs="Calibri"/>
              </w:rPr>
              <w:t xml:space="preserve">The measure focus is evidence-based, demonstrated as follows: </w:t>
            </w:r>
          </w:p>
          <w:p w:rsidR="008659ED" w:rsidRPr="0018646B" w:rsidRDefault="008659ED" w:rsidP="008659ED">
            <w:pPr>
              <w:numPr>
                <w:ilvl w:val="0"/>
                <w:numId w:val="7"/>
              </w:numPr>
              <w:rPr>
                <w:rFonts w:eastAsia="Calibri" w:cs="Calibri"/>
              </w:rPr>
            </w:pPr>
            <w:r w:rsidRPr="0018646B">
              <w:rPr>
                <w:rFonts w:eastAsia="Calibri" w:cs="Calibri"/>
                <w:u w:val="single"/>
              </w:rPr>
              <w:t xml:space="preserve">Health </w:t>
            </w:r>
            <w:r w:rsidRPr="0018646B">
              <w:rPr>
                <w:rFonts w:eastAsia="Calibri" w:cs="Calibri"/>
              </w:rPr>
              <w:t>outcome</w:t>
            </w:r>
            <w:r w:rsidR="00CB1E41" w:rsidRPr="0018646B">
              <w:rPr>
                <w:rFonts w:eastAsia="Calibri" w:cs="Calibri"/>
                <w:color w:val="0000FF"/>
              </w:rPr>
              <w:t xml:space="preserve">: </w:t>
            </w:r>
            <w:hyperlink w:anchor="Note3" w:history="1">
              <w:r w:rsidR="00CB1E41" w:rsidRPr="0018646B">
                <w:rPr>
                  <w:rStyle w:val="Hyperlink"/>
                  <w:rFonts w:eastAsia="Calibri" w:cs="Calibri"/>
                  <w:b/>
                  <w:vertAlign w:val="superscript"/>
                </w:rPr>
                <w:t>3</w:t>
              </w:r>
            </w:hyperlink>
            <w:r w:rsidR="00CB1E41" w:rsidRPr="0018646B">
              <w:rPr>
                <w:rFonts w:eastAsia="Calibri" w:cs="Calibri"/>
                <w:color w:val="0000FF"/>
              </w:rPr>
              <w:t xml:space="preserve"> </w:t>
            </w:r>
            <w:r w:rsidRPr="0018646B">
              <w:rPr>
                <w:rFonts w:eastAsia="Calibri" w:cs="Calibri"/>
              </w:rPr>
              <w:t>a rationale supports the relationship of the health outcome to processes or structures of care. Applies to patient-reported outcomes (PRO), including health-related quality of life/functional status, symptom/symptom burden, experience with care, health-related behavior.</w:t>
            </w:r>
          </w:p>
          <w:p w:rsidR="008659ED" w:rsidRPr="0018646B" w:rsidRDefault="008659ED" w:rsidP="008659ED">
            <w:pPr>
              <w:numPr>
                <w:ilvl w:val="0"/>
                <w:numId w:val="7"/>
              </w:numPr>
              <w:rPr>
                <w:rFonts w:eastAsia="Calibri" w:cs="Calibri"/>
              </w:rPr>
            </w:pPr>
            <w:r w:rsidRPr="0018646B">
              <w:rPr>
                <w:rFonts w:eastAsia="Calibri" w:cs="Calibri"/>
                <w:u w:val="single"/>
              </w:rPr>
              <w:t>Intermediate clinical outcome</w:t>
            </w:r>
            <w:r w:rsidRPr="0018646B">
              <w:rPr>
                <w:rFonts w:eastAsia="Calibri" w:cs="Calibri"/>
              </w:rPr>
              <w:t xml:space="preserve">: a systematic assessment and grading of the quantity, quality, and consistency of the body of evidence </w:t>
            </w:r>
            <w:hyperlink w:anchor="Note4" w:history="1">
              <w:r w:rsidRPr="0018646B">
                <w:rPr>
                  <w:rStyle w:val="Hyperlink"/>
                  <w:rFonts w:eastAsia="Calibri" w:cs="Calibri"/>
                  <w:b/>
                  <w:vertAlign w:val="superscript"/>
                </w:rPr>
                <w:t>4</w:t>
              </w:r>
            </w:hyperlink>
            <w:r w:rsidRPr="0018646B">
              <w:rPr>
                <w:rFonts w:eastAsia="Calibri" w:cs="Calibri"/>
                <w:b/>
                <w:vertAlign w:val="superscript"/>
              </w:rPr>
              <w:t xml:space="preserve"> </w:t>
            </w:r>
            <w:r w:rsidRPr="0018646B">
              <w:rPr>
                <w:rFonts w:eastAsia="Calibri" w:cs="Calibri"/>
                <w:bCs/>
              </w:rPr>
              <w:t>that the measured intermediate clinical outcome leads to a desired health outcome.</w:t>
            </w:r>
          </w:p>
          <w:p w:rsidR="008659ED" w:rsidRPr="0018646B" w:rsidRDefault="008659ED" w:rsidP="008659ED">
            <w:pPr>
              <w:numPr>
                <w:ilvl w:val="0"/>
                <w:numId w:val="7"/>
              </w:numPr>
              <w:rPr>
                <w:rFonts w:eastAsia="Calibri" w:cs="Calibri"/>
              </w:rPr>
            </w:pPr>
            <w:r w:rsidRPr="0018646B">
              <w:rPr>
                <w:rFonts w:eastAsia="Calibri" w:cs="Calibri"/>
                <w:u w:val="single"/>
              </w:rPr>
              <w:t>Process</w:t>
            </w:r>
            <w:r w:rsidRPr="0018646B">
              <w:rPr>
                <w:rFonts w:eastAsia="Calibri" w:cs="Calibri"/>
              </w:rPr>
              <w:t xml:space="preserve">: </w:t>
            </w:r>
            <w:hyperlink w:anchor="Note5" w:history="1">
              <w:r w:rsidRPr="0018646B">
                <w:rPr>
                  <w:rStyle w:val="Hyperlink"/>
                  <w:rFonts w:eastAsia="Calibri" w:cs="Calibri"/>
                  <w:b/>
                  <w:vertAlign w:val="superscript"/>
                </w:rPr>
                <w:t>5</w:t>
              </w:r>
            </w:hyperlink>
            <w:r w:rsidRPr="0018646B">
              <w:rPr>
                <w:rFonts w:eastAsia="Calibri" w:cs="Calibri"/>
              </w:rPr>
              <w:t xml:space="preserve"> a systematic assessment and grading of the quantity, quality, and consistency of the body of evidence </w:t>
            </w:r>
            <w:hyperlink w:anchor="Note4" w:history="1">
              <w:r w:rsidR="00CB1E41" w:rsidRPr="0018646B">
                <w:rPr>
                  <w:rStyle w:val="Hyperlink"/>
                  <w:rFonts w:eastAsia="Calibri" w:cs="Calibri"/>
                  <w:b/>
                  <w:vertAlign w:val="superscript"/>
                </w:rPr>
                <w:t>4</w:t>
              </w:r>
            </w:hyperlink>
            <w:r w:rsidRPr="0018646B">
              <w:rPr>
                <w:rFonts w:eastAsia="Calibri" w:cs="Calibri"/>
                <w:bCs/>
              </w:rPr>
              <w:t xml:space="preserve"> that the measured process leads to a desired health outcome.</w:t>
            </w:r>
          </w:p>
          <w:p w:rsidR="008659ED" w:rsidRPr="0018646B" w:rsidRDefault="008659ED" w:rsidP="00CB1E41">
            <w:pPr>
              <w:numPr>
                <w:ilvl w:val="0"/>
                <w:numId w:val="8"/>
              </w:numPr>
              <w:autoSpaceDE w:val="0"/>
              <w:autoSpaceDN w:val="0"/>
              <w:adjustRightInd w:val="0"/>
              <w:contextualSpacing/>
            </w:pPr>
            <w:r w:rsidRPr="0018646B">
              <w:rPr>
                <w:rFonts w:eastAsia="Calibri" w:cs="Calibri"/>
                <w:u w:val="single"/>
              </w:rPr>
              <w:t>Structure</w:t>
            </w:r>
            <w:r w:rsidRPr="0018646B">
              <w:rPr>
                <w:rFonts w:eastAsia="Calibri" w:cs="Calibri"/>
              </w:rPr>
              <w:t xml:space="preserve">: a systematic assessment and grading of the quantity, quality, and consistency of the body of evidence </w:t>
            </w:r>
            <w:hyperlink w:anchor="Note4" w:history="1">
              <w:r w:rsidR="00CB1E41" w:rsidRPr="0018646B">
                <w:rPr>
                  <w:rStyle w:val="Hyperlink"/>
                  <w:rFonts w:eastAsia="Calibri" w:cs="Calibri"/>
                  <w:b/>
                  <w:vertAlign w:val="superscript"/>
                </w:rPr>
                <w:t>4</w:t>
              </w:r>
            </w:hyperlink>
            <w:r w:rsidRPr="0018646B">
              <w:rPr>
                <w:rFonts w:eastAsia="Calibri" w:cs="Calibri"/>
                <w:b/>
                <w:vertAlign w:val="superscript"/>
              </w:rPr>
              <w:t xml:space="preserve"> </w:t>
            </w:r>
            <w:r w:rsidRPr="0018646B">
              <w:rPr>
                <w:rFonts w:eastAsia="Calibri" w:cs="Calibri"/>
                <w:bCs/>
              </w:rPr>
              <w:t xml:space="preserve"> that the measured structure leads to a desired health outcome.</w:t>
            </w:r>
          </w:p>
          <w:p w:rsidR="008659ED" w:rsidRPr="0018646B" w:rsidRDefault="008659ED" w:rsidP="00CB1E41">
            <w:pPr>
              <w:numPr>
                <w:ilvl w:val="0"/>
                <w:numId w:val="8"/>
              </w:numPr>
              <w:autoSpaceDE w:val="0"/>
              <w:autoSpaceDN w:val="0"/>
              <w:adjustRightInd w:val="0"/>
              <w:contextualSpacing/>
            </w:pPr>
            <w:r w:rsidRPr="0018646B">
              <w:rPr>
                <w:rFonts w:eastAsia="Calibri" w:cs="Calibri"/>
                <w:u w:val="single"/>
              </w:rPr>
              <w:t>Efficiency</w:t>
            </w:r>
            <w:r w:rsidR="00E536D3" w:rsidRPr="0018646B">
              <w:rPr>
                <w:rFonts w:eastAsia="Calibri" w:cs="Calibri"/>
              </w:rPr>
              <w:t xml:space="preserve">: </w:t>
            </w:r>
            <w:hyperlink w:anchor="Note6" w:history="1">
              <w:r w:rsidR="00E536D3" w:rsidRPr="0018646B">
                <w:rPr>
                  <w:rStyle w:val="Hyperlink"/>
                  <w:rFonts w:eastAsia="Calibri" w:cs="Calibri"/>
                  <w:b/>
                  <w:vertAlign w:val="superscript"/>
                </w:rPr>
                <w:t>6</w:t>
              </w:r>
            </w:hyperlink>
            <w:r w:rsidR="00E536D3" w:rsidRPr="0018646B">
              <w:rPr>
                <w:rFonts w:eastAsia="Calibri" w:cs="Calibri"/>
              </w:rPr>
              <w:t xml:space="preserve"> </w:t>
            </w:r>
            <w:r w:rsidRPr="0018646B">
              <w:rPr>
                <w:rFonts w:eastAsia="Calibri" w:cs="Calibri"/>
              </w:rPr>
              <w:t>evidence not required for the resource use component.</w:t>
            </w:r>
          </w:p>
          <w:p w:rsidR="00CB1E41" w:rsidRPr="0018646B" w:rsidRDefault="00CB1E41" w:rsidP="008659ED">
            <w:pPr>
              <w:autoSpaceDE w:val="0"/>
              <w:autoSpaceDN w:val="0"/>
              <w:adjustRightInd w:val="0"/>
              <w:rPr>
                <w:rFonts w:eastAsia="Calibri" w:cs="Calibri"/>
                <w:b/>
                <w:bCs/>
                <w:iCs/>
              </w:rPr>
            </w:pPr>
          </w:p>
          <w:p w:rsidR="008659ED" w:rsidRPr="0018646B" w:rsidRDefault="008659ED" w:rsidP="008659ED">
            <w:pPr>
              <w:autoSpaceDE w:val="0"/>
              <w:autoSpaceDN w:val="0"/>
              <w:adjustRightInd w:val="0"/>
              <w:rPr>
                <w:rFonts w:eastAsia="Calibri" w:cs="Calibri"/>
                <w:b/>
                <w:bCs/>
                <w:iCs/>
              </w:rPr>
            </w:pPr>
            <w:r w:rsidRPr="0018646B">
              <w:rPr>
                <w:rFonts w:eastAsia="Calibri" w:cs="Calibri"/>
                <w:b/>
                <w:bCs/>
                <w:iCs/>
              </w:rPr>
              <w:t>Notes</w:t>
            </w:r>
          </w:p>
          <w:p w:rsidR="008659ED" w:rsidRPr="0018646B" w:rsidRDefault="008659ED" w:rsidP="00CB1E41">
            <w:pPr>
              <w:ind w:left="0" w:firstLine="0"/>
              <w:rPr>
                <w:rFonts w:eastAsia="Calibri" w:cs="Calibri"/>
              </w:rPr>
            </w:pPr>
            <w:bookmarkStart w:id="1" w:name="Note3"/>
            <w:bookmarkEnd w:id="1"/>
            <w:r w:rsidRPr="0018646B">
              <w:rPr>
                <w:rFonts w:eastAsia="Calibri" w:cs="Calibri"/>
                <w:b/>
              </w:rPr>
              <w:t>3.</w:t>
            </w:r>
            <w:r w:rsidRPr="0018646B">
              <w:rPr>
                <w:rFonts w:eastAsia="Calibri" w:cs="Calibri"/>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18646B" w:rsidRDefault="008659ED" w:rsidP="00CB1E41">
            <w:pPr>
              <w:ind w:left="0" w:firstLine="0"/>
              <w:rPr>
                <w:rFonts w:eastAsia="Calibri" w:cs="Calibri"/>
              </w:rPr>
            </w:pPr>
            <w:bookmarkStart w:id="2" w:name="Note4"/>
            <w:bookmarkEnd w:id="2"/>
            <w:r w:rsidRPr="0018646B">
              <w:rPr>
                <w:rFonts w:eastAsia="Calibri" w:cs="Calibri"/>
                <w:b/>
              </w:rPr>
              <w:t>4.</w:t>
            </w:r>
            <w:r w:rsidRPr="0018646B">
              <w:rPr>
                <w:rFonts w:eastAsia="Calibri" w:cs="Calibri"/>
              </w:rPr>
              <w:t xml:space="preserve"> The preferred systems for grading the evidence are the U.S. Preventive Services Task Force (USPSTF) </w:t>
            </w:r>
            <w:hyperlink r:id="rId13" w:history="1">
              <w:r w:rsidRPr="0018646B">
                <w:rPr>
                  <w:rFonts w:eastAsia="Calibri" w:cs="Calibri"/>
                  <w:color w:val="0000FF"/>
                  <w:u w:val="single"/>
                </w:rPr>
                <w:t>grading definitions</w:t>
              </w:r>
            </w:hyperlink>
            <w:r w:rsidRPr="0018646B">
              <w:rPr>
                <w:rFonts w:eastAsia="Calibri" w:cs="Calibri"/>
              </w:rPr>
              <w:t xml:space="preserve"> and </w:t>
            </w:r>
            <w:hyperlink r:id="rId14" w:history="1">
              <w:r w:rsidRPr="0018646B">
                <w:rPr>
                  <w:rFonts w:eastAsia="Calibri" w:cs="Calibri"/>
                  <w:color w:val="0000FF"/>
                  <w:u w:val="single"/>
                </w:rPr>
                <w:t>methods</w:t>
              </w:r>
            </w:hyperlink>
            <w:r w:rsidRPr="0018646B">
              <w:rPr>
                <w:rFonts w:eastAsia="Calibri" w:cs="Calibri"/>
              </w:rPr>
              <w:t xml:space="preserve">, or Grading of Recommendations, Assessment, Development and Evaluation </w:t>
            </w:r>
            <w:hyperlink r:id="rId15" w:history="1">
              <w:r w:rsidRPr="0018646B">
                <w:rPr>
                  <w:rFonts w:eastAsia="Calibri" w:cs="Calibri"/>
                  <w:color w:val="0000FF"/>
                  <w:u w:val="single"/>
                </w:rPr>
                <w:t>(GRADE) guidelines</w:t>
              </w:r>
            </w:hyperlink>
            <w:r w:rsidRPr="0018646B">
              <w:rPr>
                <w:rFonts w:eastAsia="Calibri" w:cs="Calibri"/>
              </w:rPr>
              <w:t>.</w:t>
            </w:r>
          </w:p>
          <w:p w:rsidR="008659ED" w:rsidRPr="0018646B" w:rsidRDefault="008659ED" w:rsidP="00CB1E41">
            <w:pPr>
              <w:ind w:left="0" w:firstLine="0"/>
              <w:rPr>
                <w:rFonts w:eastAsia="Calibri" w:cs="Calibri"/>
              </w:rPr>
            </w:pPr>
            <w:bookmarkStart w:id="3" w:name="Note5"/>
            <w:bookmarkEnd w:id="3"/>
            <w:r w:rsidRPr="0018646B">
              <w:rPr>
                <w:rFonts w:eastAsia="Calibri" w:cs="Calibri"/>
                <w:b/>
              </w:rPr>
              <w:lastRenderedPageBreak/>
              <w:t>5.</w:t>
            </w:r>
            <w:r w:rsidRPr="0018646B">
              <w:rPr>
                <w:rFonts w:eastAsia="Calibri" w:cs="Calibri"/>
              </w:rPr>
              <w:t xml:space="preserve"> Clinical care processes typically include multiple steps: assess </w:t>
            </w:r>
            <w:r w:rsidRPr="0018646B">
              <w:rPr>
                <w:rFonts w:eastAsia="Calibri" w:cs="Calibri"/>
              </w:rPr>
              <w:sym w:font="Symbol" w:char="F0AE"/>
            </w:r>
            <w:r w:rsidRPr="0018646B">
              <w:rPr>
                <w:rFonts w:eastAsia="Calibri" w:cs="Calibri"/>
              </w:rPr>
              <w:t xml:space="preserve"> identify problem/potential problem </w:t>
            </w:r>
            <w:r w:rsidRPr="0018646B">
              <w:rPr>
                <w:rFonts w:eastAsia="Calibri" w:cs="Calibri"/>
              </w:rPr>
              <w:sym w:font="Symbol" w:char="F0AE"/>
            </w:r>
            <w:r w:rsidRPr="0018646B">
              <w:rPr>
                <w:rFonts w:eastAsia="Calibri" w:cs="Calibri"/>
              </w:rPr>
              <w:t xml:space="preserve"> choose/plan intervention (with patient input) </w:t>
            </w:r>
            <w:r w:rsidRPr="0018646B">
              <w:rPr>
                <w:rFonts w:eastAsia="Calibri" w:cs="Calibri"/>
              </w:rPr>
              <w:sym w:font="Symbol" w:char="F0AE"/>
            </w:r>
            <w:r w:rsidRPr="0018646B">
              <w:rPr>
                <w:rFonts w:eastAsia="Calibri" w:cs="Calibri"/>
              </w:rPr>
              <w:t xml:space="preserve"> provide intervention </w:t>
            </w:r>
            <w:r w:rsidRPr="0018646B">
              <w:rPr>
                <w:rFonts w:eastAsia="Calibri" w:cs="Calibri"/>
              </w:rPr>
              <w:sym w:font="Symbol" w:char="F0AE"/>
            </w:r>
            <w:r w:rsidRPr="0018646B">
              <w:rPr>
                <w:rFonts w:eastAsia="Calibri" w:cs="Calibri"/>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18646B" w:rsidRDefault="008659ED" w:rsidP="00CB1E41">
            <w:pPr>
              <w:autoSpaceDE w:val="0"/>
              <w:autoSpaceDN w:val="0"/>
              <w:adjustRightInd w:val="0"/>
              <w:ind w:left="0" w:firstLine="0"/>
              <w:contextualSpacing/>
            </w:pPr>
            <w:bookmarkStart w:id="4" w:name="Note6"/>
            <w:bookmarkEnd w:id="4"/>
            <w:r w:rsidRPr="0018646B">
              <w:rPr>
                <w:rFonts w:eastAsia="Calibri" w:cs="Calibri"/>
                <w:b/>
              </w:rPr>
              <w:t xml:space="preserve">6. </w:t>
            </w:r>
            <w:r w:rsidRPr="0018646B">
              <w:rPr>
                <w:rFonts w:eastAsia="Calibri" w:cs="Calibri"/>
              </w:rPr>
              <w:t xml:space="preserve">Measures of efficiency combine the concepts of resource use </w:t>
            </w:r>
            <w:r w:rsidRPr="0018646B">
              <w:rPr>
                <w:rFonts w:eastAsia="Calibri" w:cs="Calibri"/>
                <w:u w:val="single"/>
              </w:rPr>
              <w:t>and</w:t>
            </w:r>
            <w:r w:rsidRPr="0018646B">
              <w:rPr>
                <w:rFonts w:eastAsia="Calibri" w:cs="Calibri"/>
              </w:rPr>
              <w:t xml:space="preserve"> quality (see NQF’s </w:t>
            </w:r>
            <w:hyperlink r:id="rId16" w:history="1">
              <w:r w:rsidRPr="0018646B">
                <w:rPr>
                  <w:rFonts w:eastAsia="Calibri" w:cs="Calibri"/>
                  <w:color w:val="0000FF"/>
                  <w:u w:val="single"/>
                </w:rPr>
                <w:t>Measurement Framework: Evaluating Efficiency Across Episodes of Care</w:t>
              </w:r>
            </w:hyperlink>
            <w:r w:rsidRPr="0018646B">
              <w:rPr>
                <w:rFonts w:eastAsia="Calibri" w:cs="Calibri"/>
              </w:rPr>
              <w:t xml:space="preserve">; </w:t>
            </w:r>
            <w:hyperlink r:id="rId17" w:history="1">
              <w:r w:rsidRPr="0018646B">
                <w:rPr>
                  <w:rFonts w:eastAsia="Calibri" w:cs="Calibri"/>
                  <w:color w:val="0000FF"/>
                  <w:u w:val="single"/>
                </w:rPr>
                <w:t>AQA Principles of Efficiency Measures</w:t>
              </w:r>
            </w:hyperlink>
            <w:r w:rsidRPr="0018646B">
              <w:rPr>
                <w:rFonts w:eastAsia="Calibri" w:cs="Calibri"/>
              </w:rPr>
              <w:t>).</w:t>
            </w:r>
          </w:p>
        </w:tc>
      </w:tr>
    </w:tbl>
    <w:p w:rsidR="00A67EB1" w:rsidRPr="0018646B" w:rsidRDefault="00496AF8" w:rsidP="002E2177">
      <w:pPr>
        <w:ind w:left="0" w:firstLine="0"/>
        <w:rPr>
          <w:bCs/>
          <w:i/>
        </w:rPr>
      </w:pPr>
      <w:r w:rsidRPr="0018646B">
        <w:rPr>
          <w:b/>
          <w:bCs/>
          <w:color w:val="0000FF"/>
        </w:rPr>
        <w:lastRenderedPageBreak/>
        <w:t>1</w:t>
      </w:r>
      <w:r w:rsidR="00773485" w:rsidRPr="0018646B">
        <w:rPr>
          <w:b/>
          <w:bCs/>
          <w:color w:val="0000FF"/>
        </w:rPr>
        <w:t>a</w:t>
      </w:r>
      <w:r w:rsidRPr="0018646B">
        <w:rPr>
          <w:b/>
          <w:bCs/>
          <w:color w:val="0000FF"/>
        </w:rPr>
        <w:t>.1.</w:t>
      </w:r>
      <w:r w:rsidRPr="0018646B">
        <w:rPr>
          <w:b/>
          <w:bCs/>
        </w:rPr>
        <w:t>This is a measure of</w:t>
      </w:r>
      <w:r w:rsidRPr="0018646B">
        <w:rPr>
          <w:bCs/>
        </w:rPr>
        <w:t>:</w:t>
      </w:r>
      <w:r w:rsidR="00A67EB1" w:rsidRPr="0018646B">
        <w:rPr>
          <w:bCs/>
        </w:rPr>
        <w:t xml:space="preserve"> (</w:t>
      </w:r>
      <w:r w:rsidR="00A67EB1" w:rsidRPr="0018646B">
        <w:rPr>
          <w:bCs/>
          <w:i/>
        </w:rPr>
        <w:t xml:space="preserve">should be consistent with type </w:t>
      </w:r>
      <w:r w:rsidR="00CB1E41" w:rsidRPr="0018646B">
        <w:rPr>
          <w:bCs/>
          <w:i/>
        </w:rPr>
        <w:t xml:space="preserve">of measure </w:t>
      </w:r>
      <w:r w:rsidR="00A67EB1" w:rsidRPr="0018646B">
        <w:rPr>
          <w:bCs/>
          <w:i/>
        </w:rPr>
        <w:t>entered in De.1</w:t>
      </w:r>
      <w:r w:rsidR="00A67EB1" w:rsidRPr="0018646B">
        <w:rPr>
          <w:bCs/>
        </w:rPr>
        <w:t xml:space="preserve">) </w:t>
      </w:r>
    </w:p>
    <w:p w:rsidR="00496AF8" w:rsidRPr="0018646B" w:rsidRDefault="00E41417" w:rsidP="00015986">
      <w:pPr>
        <w:ind w:left="432" w:hanging="432"/>
        <w:rPr>
          <w:rFonts w:cs="Calibri"/>
          <w:bCs/>
        </w:rPr>
      </w:pPr>
      <w:r w:rsidRPr="0018646B">
        <w:rPr>
          <w:rFonts w:cs="Calibri"/>
          <w:bCs/>
        </w:rPr>
        <w:t>O</w:t>
      </w:r>
      <w:r w:rsidR="00496AF8" w:rsidRPr="0018646B">
        <w:rPr>
          <w:rFonts w:cs="Calibri"/>
          <w:bCs/>
        </w:rPr>
        <w:t>utcome</w:t>
      </w:r>
    </w:p>
    <w:p w:rsidR="00496AF8" w:rsidRPr="0018646B" w:rsidRDefault="008D348D"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D55E8D" w:rsidRPr="0018646B">
            <w:rPr>
              <w:rFonts w:ascii="Segoe UI Symbol" w:eastAsia="MS Gothic" w:hAnsi="Segoe UI Symbol" w:cs="Segoe UI Symbol"/>
              <w:bCs/>
              <w:color w:val="0000FF"/>
              <w:u w:val="single"/>
            </w:rPr>
            <w:t>☐</w:t>
          </w:r>
        </w:sdtContent>
      </w:sdt>
      <w:r w:rsidR="0015535B" w:rsidRPr="0018646B">
        <w:rPr>
          <w:bCs/>
          <w:color w:val="0000FF"/>
        </w:rPr>
        <w:t xml:space="preserve"> </w:t>
      </w:r>
      <w:r w:rsidR="00E41417" w:rsidRPr="0018646B">
        <w:rPr>
          <w:bCs/>
        </w:rPr>
        <w:t>H</w:t>
      </w:r>
      <w:r w:rsidR="00BE6373" w:rsidRPr="0018646B">
        <w:rPr>
          <w:bCs/>
        </w:rPr>
        <w:t>ealth outc</w:t>
      </w:r>
      <w:r w:rsidR="00496AF8" w:rsidRPr="0018646B">
        <w:rPr>
          <w:bCs/>
        </w:rPr>
        <w:t>ome</w:t>
      </w:r>
      <w:r w:rsidR="00B117D0" w:rsidRPr="0018646B">
        <w:rPr>
          <w:bCs/>
        </w:rPr>
        <w:t xml:space="preserve">: </w:t>
      </w:r>
    </w:p>
    <w:p w:rsidR="00236F87" w:rsidRPr="0018646B" w:rsidRDefault="008D348D"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18646B">
            <w:rPr>
              <w:rFonts w:ascii="Segoe UI Symbol" w:eastAsia="MS Gothic" w:hAnsi="Segoe UI Symbol" w:cs="Segoe UI Symbol"/>
              <w:bCs/>
              <w:color w:val="0000FF"/>
            </w:rPr>
            <w:t>☐</w:t>
          </w:r>
        </w:sdtContent>
      </w:sdt>
      <w:r w:rsidR="00236F87" w:rsidRPr="0018646B">
        <w:rPr>
          <w:bCs/>
        </w:rPr>
        <w:t>Patient-reported outc</w:t>
      </w:r>
      <w:r w:rsidR="00C613EB" w:rsidRPr="0018646B">
        <w:rPr>
          <w:bCs/>
        </w:rPr>
        <w:t>o</w:t>
      </w:r>
      <w:r w:rsidR="00236F87" w:rsidRPr="0018646B">
        <w:rPr>
          <w:bCs/>
        </w:rPr>
        <w:t>me</w:t>
      </w:r>
      <w:r w:rsidR="009C291F" w:rsidRPr="0018646B">
        <w:rPr>
          <w:bCs/>
        </w:rPr>
        <w:t xml:space="preserve"> (PRO)</w:t>
      </w:r>
      <w:r w:rsidR="00236F87" w:rsidRPr="0018646B">
        <w:rPr>
          <w:bCs/>
        </w:rPr>
        <w:t xml:space="preserve">: </w:t>
      </w:r>
      <w:sdt>
        <w:sdtPr>
          <w:rPr>
            <w:rStyle w:val="Style2"/>
            <w:rFonts w:cstheme="minorHAnsi"/>
          </w:rPr>
          <w:id w:val="528310131"/>
          <w:placeholder>
            <w:docPart w:val="962214A8263E430591B9ED4CADA7154B"/>
          </w:placeholder>
          <w:showingPlcHdr/>
        </w:sdtPr>
        <w:sdtEndPr>
          <w:rPr>
            <w:rStyle w:val="DefaultParagraphFont"/>
            <w:rFonts w:cstheme="minorBidi"/>
            <w:color w:val="auto"/>
            <w:u w:val="none"/>
          </w:rPr>
        </w:sdtEndPr>
        <w:sdtContent>
          <w:r w:rsidR="00236F87" w:rsidRPr="0018646B">
            <w:rPr>
              <w:color w:val="A6A6A6" w:themeColor="background1" w:themeShade="A6"/>
            </w:rPr>
            <w:t>Click here to n</w:t>
          </w:r>
          <w:r w:rsidR="00236F87" w:rsidRPr="0018646B">
            <w:rPr>
              <w:rStyle w:val="PlaceholderText"/>
              <w:rFonts w:cstheme="minorHAnsi"/>
              <w:color w:val="A6A6A6" w:themeColor="background1" w:themeShade="A6"/>
            </w:rPr>
            <w:t xml:space="preserve">ame the </w:t>
          </w:r>
          <w:r w:rsidR="001E6153" w:rsidRPr="0018646B">
            <w:rPr>
              <w:rStyle w:val="PlaceholderText"/>
              <w:rFonts w:cstheme="minorHAnsi"/>
              <w:color w:val="A6A6A6" w:themeColor="background1" w:themeShade="A6"/>
            </w:rPr>
            <w:t>PRO</w:t>
          </w:r>
        </w:sdtContent>
      </w:sdt>
    </w:p>
    <w:p w:rsidR="00B117D0" w:rsidRPr="0018646B" w:rsidRDefault="00B117D0" w:rsidP="005857F8">
      <w:pPr>
        <w:ind w:left="720" w:firstLine="0"/>
        <w:rPr>
          <w:rFonts w:eastAsia="MS Gothic" w:cs="MS Gothic"/>
          <w:bCs/>
          <w:i/>
          <w:color w:val="0000FF"/>
        </w:rPr>
      </w:pPr>
      <w:r w:rsidRPr="0018646B">
        <w:rPr>
          <w:bCs/>
          <w:i/>
        </w:rPr>
        <w:t>PRO</w:t>
      </w:r>
      <w:r w:rsidR="009C291F" w:rsidRPr="0018646B">
        <w:rPr>
          <w:bCs/>
          <w:i/>
        </w:rPr>
        <w:t xml:space="preserve">s include </w:t>
      </w:r>
      <w:r w:rsidR="005857F8" w:rsidRPr="0018646B">
        <w:rPr>
          <w:bCs/>
          <w:i/>
        </w:rPr>
        <w:t>HRQoL/functional status, symptom/</w:t>
      </w:r>
      <w:r w:rsidR="003008F4" w:rsidRPr="0018646B">
        <w:rPr>
          <w:bCs/>
          <w:i/>
        </w:rPr>
        <w:t xml:space="preserve">symptom </w:t>
      </w:r>
      <w:r w:rsidR="005857F8" w:rsidRPr="0018646B">
        <w:rPr>
          <w:bCs/>
          <w:i/>
        </w:rPr>
        <w:t>burden, experience with care, health-related behaviors</w:t>
      </w:r>
    </w:p>
    <w:p w:rsidR="00496AF8" w:rsidRPr="0018646B" w:rsidRDefault="008D348D" w:rsidP="005857F8">
      <w:pPr>
        <w:ind w:left="720" w:hanging="432"/>
        <w:rPr>
          <w:bCs/>
        </w:rPr>
      </w:pPr>
      <w:sdt>
        <w:sdtPr>
          <w:rPr>
            <w:bCs/>
            <w:color w:val="0000FF"/>
          </w:rPr>
          <w:id w:val="1309518776"/>
          <w14:checkbox>
            <w14:checked w14:val="1"/>
            <w14:checkedState w14:val="2612" w14:font="MS Gothic"/>
            <w14:uncheckedState w14:val="2610" w14:font="MS Gothic"/>
          </w14:checkbox>
        </w:sdtPr>
        <w:sdtEndPr/>
        <w:sdtContent>
          <w:r w:rsidR="00D55E8D" w:rsidRPr="0018646B">
            <w:rPr>
              <w:rFonts w:ascii="Segoe UI Symbol" w:eastAsia="MS Gothic" w:hAnsi="Segoe UI Symbol" w:cs="Segoe UI Symbol"/>
              <w:bCs/>
              <w:color w:val="0000FF"/>
            </w:rPr>
            <w:t>☒</w:t>
          </w:r>
        </w:sdtContent>
      </w:sdt>
      <w:r w:rsidR="0015535B" w:rsidRPr="0018646B">
        <w:rPr>
          <w:bCs/>
        </w:rPr>
        <w:t xml:space="preserve"> </w:t>
      </w:r>
      <w:r w:rsidR="00E41417" w:rsidRPr="0018646B">
        <w:rPr>
          <w:bCs/>
        </w:rPr>
        <w:t>I</w:t>
      </w:r>
      <w:r w:rsidR="00496AF8" w:rsidRPr="0018646B">
        <w:rPr>
          <w:bCs/>
        </w:rPr>
        <w:t>ntermediate clinical outcome</w:t>
      </w:r>
      <w:r w:rsidR="00851466" w:rsidRPr="0018646B">
        <w:rPr>
          <w:bCs/>
        </w:rPr>
        <w:t xml:space="preserve"> (</w:t>
      </w:r>
      <w:r w:rsidR="00851466" w:rsidRPr="0018646B">
        <w:rPr>
          <w:bCs/>
          <w:i/>
        </w:rPr>
        <w:t>e.g., lab value</w:t>
      </w:r>
      <w:r w:rsidR="00851466" w:rsidRPr="0018646B">
        <w:rPr>
          <w:bCs/>
        </w:rPr>
        <w:t>)</w:t>
      </w:r>
      <w:r w:rsidR="00496AF8" w:rsidRPr="0018646B">
        <w:rPr>
          <w:bCs/>
        </w:rPr>
        <w:t xml:space="preserve">:  </w:t>
      </w:r>
      <w:sdt>
        <w:sdtPr>
          <w:rPr>
            <w:rStyle w:val="Style2"/>
            <w:rFonts w:cstheme="minorHAnsi"/>
          </w:rPr>
          <w:id w:val="322628782"/>
        </w:sdtPr>
        <w:sdtEndPr>
          <w:rPr>
            <w:rStyle w:val="DefaultParagraphFont"/>
            <w:rFonts w:cstheme="minorBidi"/>
            <w:bCs/>
            <w:color w:val="auto"/>
            <w:u w:val="none"/>
          </w:rPr>
        </w:sdtEndPr>
        <w:sdtContent>
          <w:sdt>
            <w:sdtPr>
              <w:rPr>
                <w:rStyle w:val="Style2"/>
                <w:rFonts w:cstheme="minorHAnsi"/>
              </w:rPr>
              <w:id w:val="-237789162"/>
              <w:placeholder>
                <w:docPart w:val="E6591F349A1C4AD8ACEDABFD4F4F9C16"/>
              </w:placeholder>
            </w:sdtPr>
            <w:sdtEndPr>
              <w:rPr>
                <w:rStyle w:val="DefaultParagraphFont"/>
                <w:rFonts w:cstheme="minorBidi"/>
                <w:color w:val="auto"/>
                <w:u w:val="none"/>
              </w:rPr>
            </w:sdtEndPr>
            <w:sdtContent>
              <w:r w:rsidR="000419EB" w:rsidRPr="0018646B">
                <w:rPr>
                  <w:rStyle w:val="Style2"/>
                  <w:rFonts w:cstheme="minorHAnsi"/>
                </w:rPr>
                <w:t>HIV Viral Load Suppression</w:t>
              </w:r>
            </w:sdtContent>
          </w:sdt>
        </w:sdtContent>
      </w:sdt>
    </w:p>
    <w:p w:rsidR="00496AF8" w:rsidRPr="0018646B" w:rsidRDefault="008D348D"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18646B">
            <w:rPr>
              <w:rFonts w:ascii="Segoe UI Symbol" w:eastAsia="MS Gothic" w:hAnsi="Segoe UI Symbol" w:cs="Segoe UI Symbol"/>
              <w:bCs/>
              <w:color w:val="0000FF"/>
            </w:rPr>
            <w:t>☐</w:t>
          </w:r>
        </w:sdtContent>
      </w:sdt>
      <w:r w:rsidR="0015535B" w:rsidRPr="0018646B">
        <w:rPr>
          <w:bCs/>
        </w:rPr>
        <w:t xml:space="preserve"> </w:t>
      </w:r>
      <w:r w:rsidR="00E41417" w:rsidRPr="0018646B">
        <w:rPr>
          <w:bCs/>
        </w:rPr>
        <w:t>P</w:t>
      </w:r>
      <w:r w:rsidR="00496AF8" w:rsidRPr="0018646B">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18646B">
            <w:rPr>
              <w:rStyle w:val="PlaceholderText"/>
              <w:rFonts w:cstheme="minorHAnsi"/>
              <w:color w:val="A6A6A6" w:themeColor="background1" w:themeShade="A6"/>
            </w:rPr>
            <w:t>Click here to name the process</w:t>
          </w:r>
        </w:sdtContent>
      </w:sdt>
    </w:p>
    <w:p w:rsidR="00496AF8" w:rsidRPr="0018646B" w:rsidRDefault="008D348D"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18646B">
            <w:rPr>
              <w:rFonts w:ascii="Segoe UI Symbol" w:eastAsia="MS Gothic" w:hAnsi="Segoe UI Symbol" w:cs="Segoe UI Symbol"/>
              <w:bCs/>
              <w:color w:val="0000FF"/>
            </w:rPr>
            <w:t>☐</w:t>
          </w:r>
        </w:sdtContent>
      </w:sdt>
      <w:r w:rsidR="0015535B" w:rsidRPr="0018646B">
        <w:rPr>
          <w:bCs/>
        </w:rPr>
        <w:t xml:space="preserve"> </w:t>
      </w:r>
      <w:r w:rsidR="00E41417" w:rsidRPr="0018646B">
        <w:rPr>
          <w:bCs/>
        </w:rPr>
        <w:t>S</w:t>
      </w:r>
      <w:r w:rsidR="00496AF8" w:rsidRPr="0018646B">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18646B">
            <w:rPr>
              <w:rStyle w:val="PlaceholderText"/>
              <w:rFonts w:cstheme="minorHAnsi"/>
              <w:color w:val="A6A6A6" w:themeColor="background1" w:themeShade="A6"/>
            </w:rPr>
            <w:t>Click here to name the structure</w:t>
          </w:r>
        </w:sdtContent>
      </w:sdt>
    </w:p>
    <w:p w:rsidR="00496AF8" w:rsidRPr="0018646B" w:rsidRDefault="008D348D"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0419EB" w:rsidRPr="0018646B">
            <w:rPr>
              <w:rFonts w:ascii="Segoe UI Symbol" w:eastAsia="MS Gothic" w:hAnsi="Segoe UI Symbol" w:cs="Segoe UI Symbol"/>
              <w:bCs/>
              <w:color w:val="0000FF"/>
            </w:rPr>
            <w:t>☐</w:t>
          </w:r>
        </w:sdtContent>
      </w:sdt>
      <w:r w:rsidR="0015535B" w:rsidRPr="0018646B">
        <w:rPr>
          <w:bCs/>
        </w:rPr>
        <w:t xml:space="preserve"> </w:t>
      </w:r>
      <w:r w:rsidR="00E41417" w:rsidRPr="0018646B">
        <w:rPr>
          <w:bCs/>
        </w:rPr>
        <w:t>O</w:t>
      </w:r>
      <w:r w:rsidR="00496AF8" w:rsidRPr="0018646B">
        <w:rPr>
          <w:bCs/>
        </w:rPr>
        <w:t xml:space="preserve">ther:  </w:t>
      </w:r>
      <w:sdt>
        <w:sdtPr>
          <w:rPr>
            <w:rStyle w:val="Style2"/>
            <w:rFonts w:cstheme="minorHAnsi"/>
          </w:rPr>
          <w:id w:val="949512032"/>
        </w:sdtPr>
        <w:sdtEndPr>
          <w:rPr>
            <w:rStyle w:val="DefaultParagraphFont"/>
            <w:rFonts w:cstheme="minorBidi"/>
            <w:bCs/>
            <w:color w:val="auto"/>
            <w:u w:val="none"/>
          </w:rPr>
        </w:sdtEndPr>
        <w:sdtContent>
          <w:r w:rsidR="00A25F07" w:rsidRPr="0018646B">
            <w:rPr>
              <w:rStyle w:val="Style2"/>
              <w:rFonts w:cstheme="minorHAnsi"/>
            </w:rPr>
            <w:t>Population Level outcome</w:t>
          </w:r>
        </w:sdtContent>
      </w:sdt>
    </w:p>
    <w:p w:rsidR="00496AF8" w:rsidRPr="0018646B" w:rsidRDefault="00496AF8" w:rsidP="002E2177">
      <w:pPr>
        <w:ind w:left="0" w:firstLine="0"/>
        <w:rPr>
          <w:bCs/>
        </w:rPr>
      </w:pPr>
    </w:p>
    <w:p w:rsidR="00850C35" w:rsidRPr="0018646B" w:rsidRDefault="00925F11" w:rsidP="002E2177">
      <w:pPr>
        <w:ind w:left="0" w:firstLine="0"/>
        <w:rPr>
          <w:b/>
          <w:bCs/>
        </w:rPr>
      </w:pPr>
      <w:r w:rsidRPr="0018646B">
        <w:rPr>
          <w:b/>
          <w:iCs/>
          <w:caps/>
        </w:rPr>
        <w:t>_________________________</w:t>
      </w:r>
    </w:p>
    <w:p w:rsidR="00496AF8" w:rsidRPr="0018646B" w:rsidRDefault="00496AF8" w:rsidP="002E2177">
      <w:pPr>
        <w:ind w:left="0" w:firstLine="0"/>
        <w:rPr>
          <w:bCs/>
          <w:i/>
        </w:rPr>
      </w:pPr>
      <w:r w:rsidRPr="0018646B">
        <w:rPr>
          <w:b/>
          <w:bCs/>
        </w:rPr>
        <w:t>HEALTH OUTCOME</w:t>
      </w:r>
      <w:r w:rsidR="00236F87" w:rsidRPr="0018646B">
        <w:rPr>
          <w:b/>
          <w:bCs/>
        </w:rPr>
        <w:t>/PRO</w:t>
      </w:r>
      <w:r w:rsidRPr="0018646B">
        <w:rPr>
          <w:b/>
          <w:bCs/>
        </w:rPr>
        <w:t xml:space="preserve"> </w:t>
      </w:r>
      <w:r w:rsidR="005857F8" w:rsidRPr="0018646B">
        <w:rPr>
          <w:b/>
          <w:bCs/>
        </w:rPr>
        <w:t xml:space="preserve">PERFORMANCE </w:t>
      </w:r>
      <w:r w:rsidRPr="0018646B">
        <w:rPr>
          <w:b/>
          <w:bCs/>
        </w:rPr>
        <w:t xml:space="preserve">MEASURE </w:t>
      </w:r>
      <w:r w:rsidRPr="0018646B">
        <w:rPr>
          <w:bCs/>
        </w:rPr>
        <w:t xml:space="preserve"> </w:t>
      </w:r>
      <w:r w:rsidRPr="0018646B">
        <w:rPr>
          <w:bCs/>
          <w:i/>
          <w:highlight w:val="green"/>
        </w:rPr>
        <w:t xml:space="preserve">If not </w:t>
      </w:r>
      <w:r w:rsidR="00132070" w:rsidRPr="0018646B">
        <w:rPr>
          <w:bCs/>
          <w:i/>
          <w:highlight w:val="green"/>
        </w:rPr>
        <w:t>a health outcome</w:t>
      </w:r>
      <w:r w:rsidR="00AC1E53" w:rsidRPr="0018646B">
        <w:rPr>
          <w:bCs/>
          <w:i/>
          <w:highlight w:val="green"/>
        </w:rPr>
        <w:t xml:space="preserve"> or PRO</w:t>
      </w:r>
      <w:r w:rsidR="00132070" w:rsidRPr="0018646B">
        <w:rPr>
          <w:bCs/>
          <w:i/>
          <w:highlight w:val="green"/>
        </w:rPr>
        <w:t xml:space="preserve">, skip to </w:t>
      </w:r>
      <w:hyperlink w:anchor="Section1a3" w:history="1">
        <w:r w:rsidR="00132070" w:rsidRPr="0018646B">
          <w:rPr>
            <w:rStyle w:val="Hyperlink"/>
            <w:bCs/>
            <w:i/>
            <w:highlight w:val="green"/>
          </w:rPr>
          <w:t>1</w:t>
        </w:r>
        <w:r w:rsidR="00837121" w:rsidRPr="0018646B">
          <w:rPr>
            <w:rStyle w:val="Hyperlink"/>
            <w:bCs/>
            <w:i/>
            <w:highlight w:val="green"/>
          </w:rPr>
          <w:t>a</w:t>
        </w:r>
        <w:r w:rsidR="00132070" w:rsidRPr="0018646B">
          <w:rPr>
            <w:rStyle w:val="Hyperlink"/>
            <w:bCs/>
            <w:i/>
            <w:highlight w:val="green"/>
          </w:rPr>
          <w:t>.3</w:t>
        </w:r>
      </w:hyperlink>
    </w:p>
    <w:p w:rsidR="0015436C" w:rsidRPr="0018646B" w:rsidRDefault="002B06BD" w:rsidP="002B06BD">
      <w:pPr>
        <w:ind w:left="432" w:hanging="432"/>
        <w:rPr>
          <w:iCs/>
        </w:rPr>
      </w:pPr>
      <w:r w:rsidRPr="0018646B">
        <w:rPr>
          <w:b/>
          <w:bCs/>
          <w:color w:val="0000FF"/>
        </w:rPr>
        <w:t>1a.2.</w:t>
      </w:r>
      <w:r w:rsidRPr="0018646B">
        <w:rPr>
          <w:bCs/>
        </w:rPr>
        <w:t xml:space="preserve"> </w:t>
      </w:r>
      <w:r w:rsidRPr="0018646B">
        <w:rPr>
          <w:b/>
          <w:iCs/>
        </w:rPr>
        <w:t xml:space="preserve">Briefly state or diagram the </w:t>
      </w:r>
      <w:r w:rsidR="00236F87" w:rsidRPr="0018646B">
        <w:rPr>
          <w:b/>
          <w:iCs/>
        </w:rPr>
        <w:t xml:space="preserve">path </w:t>
      </w:r>
      <w:r w:rsidRPr="0018646B">
        <w:rPr>
          <w:b/>
          <w:iCs/>
        </w:rPr>
        <w:t xml:space="preserve">between the health outcome </w:t>
      </w:r>
      <w:r w:rsidR="00AA5587" w:rsidRPr="0018646B">
        <w:rPr>
          <w:b/>
          <w:iCs/>
        </w:rPr>
        <w:t>(</w:t>
      </w:r>
      <w:r w:rsidRPr="0018646B">
        <w:rPr>
          <w:b/>
          <w:iCs/>
        </w:rPr>
        <w:t>or PRO</w:t>
      </w:r>
      <w:r w:rsidR="00AA5587" w:rsidRPr="0018646B">
        <w:rPr>
          <w:b/>
          <w:iCs/>
        </w:rPr>
        <w:t>)</w:t>
      </w:r>
      <w:r w:rsidRPr="0018646B">
        <w:rPr>
          <w:b/>
          <w:iCs/>
        </w:rPr>
        <w:t xml:space="preserve"> and </w:t>
      </w:r>
      <w:r w:rsidR="00CB06C9" w:rsidRPr="0018646B">
        <w:rPr>
          <w:b/>
          <w:iCs/>
        </w:rPr>
        <w:t>the</w:t>
      </w:r>
      <w:r w:rsidRPr="0018646B">
        <w:rPr>
          <w:b/>
          <w:iCs/>
        </w:rPr>
        <w:t xml:space="preserve"> healthcare structure</w:t>
      </w:r>
      <w:r w:rsidR="00CB06C9" w:rsidRPr="0018646B">
        <w:rPr>
          <w:b/>
          <w:iCs/>
        </w:rPr>
        <w:t>s</w:t>
      </w:r>
      <w:r w:rsidRPr="0018646B">
        <w:rPr>
          <w:b/>
          <w:iCs/>
        </w:rPr>
        <w:t>, process</w:t>
      </w:r>
      <w:r w:rsidR="00CB06C9" w:rsidRPr="0018646B">
        <w:rPr>
          <w:b/>
          <w:iCs/>
        </w:rPr>
        <w:t>es</w:t>
      </w:r>
      <w:r w:rsidRPr="0018646B">
        <w:rPr>
          <w:b/>
          <w:iCs/>
        </w:rPr>
        <w:t>, intervention</w:t>
      </w:r>
      <w:r w:rsidR="00CB06C9" w:rsidRPr="0018646B">
        <w:rPr>
          <w:b/>
          <w:iCs/>
        </w:rPr>
        <w:t>s</w:t>
      </w:r>
      <w:r w:rsidRPr="0018646B">
        <w:rPr>
          <w:b/>
          <w:iCs/>
        </w:rPr>
        <w:t>, or service</w:t>
      </w:r>
      <w:r w:rsidR="00CB06C9" w:rsidRPr="0018646B">
        <w:rPr>
          <w:b/>
          <w:iCs/>
        </w:rPr>
        <w:t>s that influence it</w:t>
      </w:r>
      <w:r w:rsidR="00024526" w:rsidRPr="0018646B">
        <w:rPr>
          <w:b/>
          <w:iCs/>
        </w:rPr>
        <w:t>.</w:t>
      </w:r>
    </w:p>
    <w:p w:rsidR="006E29E7" w:rsidRPr="0018646B" w:rsidRDefault="006E29E7" w:rsidP="002E2177">
      <w:pPr>
        <w:ind w:left="432" w:hanging="432"/>
        <w:rPr>
          <w:color w:val="0000FF"/>
        </w:rPr>
      </w:pPr>
    </w:p>
    <w:p w:rsidR="00496AF8" w:rsidRPr="0018646B" w:rsidRDefault="00B058A6" w:rsidP="002E2177">
      <w:pPr>
        <w:ind w:left="432" w:hanging="432"/>
        <w:rPr>
          <w:iCs/>
        </w:rPr>
      </w:pPr>
      <w:r w:rsidRPr="0018646B">
        <w:rPr>
          <w:b/>
          <w:color w:val="0000FF"/>
        </w:rPr>
        <w:t>1</w:t>
      </w:r>
      <w:r w:rsidR="00773485" w:rsidRPr="0018646B">
        <w:rPr>
          <w:b/>
          <w:color w:val="0000FF"/>
        </w:rPr>
        <w:t>a</w:t>
      </w:r>
      <w:r w:rsidRPr="0018646B">
        <w:rPr>
          <w:b/>
          <w:color w:val="0000FF"/>
        </w:rPr>
        <w:t>.2</w:t>
      </w:r>
      <w:r w:rsidR="00496AF8" w:rsidRPr="0018646B">
        <w:rPr>
          <w:b/>
          <w:color w:val="0000FF"/>
        </w:rPr>
        <w:t>.</w:t>
      </w:r>
      <w:r w:rsidR="00E41417" w:rsidRPr="0018646B">
        <w:rPr>
          <w:b/>
          <w:color w:val="0000FF"/>
        </w:rPr>
        <w:t>1.</w:t>
      </w:r>
      <w:r w:rsidR="00E41417" w:rsidRPr="0018646B">
        <w:rPr>
          <w:iCs/>
        </w:rPr>
        <w:t xml:space="preserve"> </w:t>
      </w:r>
      <w:r w:rsidR="00496AF8" w:rsidRPr="0018646B">
        <w:rPr>
          <w:b/>
          <w:iCs/>
        </w:rPr>
        <w:t xml:space="preserve">State the rationale </w:t>
      </w:r>
      <w:r w:rsidR="001D5B5D" w:rsidRPr="0018646B">
        <w:rPr>
          <w:b/>
          <w:iCs/>
        </w:rPr>
        <w:t xml:space="preserve">supporting </w:t>
      </w:r>
      <w:r w:rsidR="008B51D9" w:rsidRPr="0018646B">
        <w:rPr>
          <w:b/>
          <w:iCs/>
        </w:rPr>
        <w:t xml:space="preserve">the </w:t>
      </w:r>
      <w:r w:rsidR="005D25E9" w:rsidRPr="0018646B">
        <w:rPr>
          <w:b/>
          <w:iCs/>
        </w:rPr>
        <w:t xml:space="preserve">relationship </w:t>
      </w:r>
      <w:r w:rsidR="00AC1E53" w:rsidRPr="0018646B">
        <w:rPr>
          <w:b/>
          <w:iCs/>
        </w:rPr>
        <w:t>between</w:t>
      </w:r>
      <w:r w:rsidR="005D25E9" w:rsidRPr="0018646B">
        <w:rPr>
          <w:b/>
          <w:iCs/>
        </w:rPr>
        <w:t xml:space="preserve"> the </w:t>
      </w:r>
      <w:r w:rsidR="008B51D9" w:rsidRPr="0018646B">
        <w:rPr>
          <w:b/>
          <w:iCs/>
        </w:rPr>
        <w:t>health outcome</w:t>
      </w:r>
      <w:r w:rsidR="005857F8" w:rsidRPr="0018646B">
        <w:rPr>
          <w:b/>
          <w:iCs/>
        </w:rPr>
        <w:t xml:space="preserve"> </w:t>
      </w:r>
      <w:r w:rsidR="00AA5587" w:rsidRPr="0018646B">
        <w:rPr>
          <w:b/>
          <w:iCs/>
        </w:rPr>
        <w:t>(</w:t>
      </w:r>
      <w:r w:rsidR="005857F8" w:rsidRPr="0018646B">
        <w:rPr>
          <w:b/>
          <w:iCs/>
        </w:rPr>
        <w:t>or PRO</w:t>
      </w:r>
      <w:r w:rsidR="00AA5587" w:rsidRPr="0018646B">
        <w:rPr>
          <w:b/>
          <w:iCs/>
        </w:rPr>
        <w:t>)</w:t>
      </w:r>
      <w:r w:rsidR="008B51D9" w:rsidRPr="0018646B">
        <w:rPr>
          <w:b/>
          <w:iCs/>
        </w:rPr>
        <w:t xml:space="preserve"> </w:t>
      </w:r>
      <w:r w:rsidR="005D25E9" w:rsidRPr="0018646B">
        <w:rPr>
          <w:b/>
          <w:iCs/>
        </w:rPr>
        <w:t>to</w:t>
      </w:r>
      <w:r w:rsidR="00236F87" w:rsidRPr="0018646B">
        <w:rPr>
          <w:b/>
          <w:iCs/>
        </w:rPr>
        <w:t xml:space="preserve"> </w:t>
      </w:r>
      <w:r w:rsidR="00496AF8" w:rsidRPr="0018646B">
        <w:rPr>
          <w:b/>
          <w:iCs/>
        </w:rPr>
        <w:t>at least one</w:t>
      </w:r>
      <w:r w:rsidR="009B5BEA" w:rsidRPr="0018646B">
        <w:rPr>
          <w:b/>
          <w:iCs/>
        </w:rPr>
        <w:t xml:space="preserve"> </w:t>
      </w:r>
      <w:r w:rsidR="00496AF8" w:rsidRPr="0018646B">
        <w:rPr>
          <w:b/>
          <w:iCs/>
        </w:rPr>
        <w:t>healthcare structure, process, intervention, or service</w:t>
      </w:r>
      <w:r w:rsidR="00AC1E53" w:rsidRPr="0018646B">
        <w:rPr>
          <w:b/>
          <w:iCs/>
        </w:rPr>
        <w:t xml:space="preserve"> (</w:t>
      </w:r>
      <w:r w:rsidR="00AC1E53" w:rsidRPr="0018646B">
        <w:rPr>
          <w:b/>
          <w:i/>
          <w:iCs/>
        </w:rPr>
        <w:t>i.e., influence on outcome/PRO</w:t>
      </w:r>
      <w:r w:rsidR="00AC1E53" w:rsidRPr="0018646B">
        <w:rPr>
          <w:b/>
          <w:iCs/>
        </w:rPr>
        <w:t>)</w:t>
      </w:r>
      <w:r w:rsidR="005D25E9" w:rsidRPr="0018646B">
        <w:rPr>
          <w:b/>
          <w:iCs/>
        </w:rPr>
        <w:t>.</w:t>
      </w:r>
    </w:p>
    <w:p w:rsidR="00D14F0B" w:rsidRPr="0018646B" w:rsidRDefault="00D14F0B" w:rsidP="002E2177">
      <w:pPr>
        <w:ind w:left="0" w:firstLine="0"/>
        <w:rPr>
          <w:iCs/>
        </w:rPr>
      </w:pPr>
    </w:p>
    <w:p w:rsidR="00496AF8" w:rsidRPr="0018646B" w:rsidRDefault="00496AF8" w:rsidP="002E2177">
      <w:pPr>
        <w:ind w:left="0" w:firstLine="0"/>
        <w:rPr>
          <w:i/>
          <w:iCs/>
        </w:rPr>
      </w:pPr>
      <w:r w:rsidRPr="0018646B">
        <w:rPr>
          <w:i/>
          <w:iCs/>
          <w:highlight w:val="green"/>
          <w:u w:val="single"/>
        </w:rPr>
        <w:t>Note</w:t>
      </w:r>
      <w:r w:rsidR="009B5BEA" w:rsidRPr="0018646B">
        <w:rPr>
          <w:i/>
          <w:iCs/>
          <w:highlight w:val="green"/>
        </w:rPr>
        <w:t>:  F</w:t>
      </w:r>
      <w:r w:rsidRPr="0018646B">
        <w:rPr>
          <w:i/>
          <w:iCs/>
          <w:highlight w:val="green"/>
        </w:rPr>
        <w:t>or health outcome</w:t>
      </w:r>
      <w:r w:rsidR="00236F87" w:rsidRPr="0018646B">
        <w:rPr>
          <w:i/>
          <w:iCs/>
          <w:highlight w:val="green"/>
        </w:rPr>
        <w:t>/PRO</w:t>
      </w:r>
      <w:r w:rsidRPr="0018646B">
        <w:rPr>
          <w:i/>
          <w:iCs/>
          <w:highlight w:val="green"/>
        </w:rPr>
        <w:t xml:space="preserve"> </w:t>
      </w:r>
      <w:r w:rsidR="005857F8" w:rsidRPr="0018646B">
        <w:rPr>
          <w:i/>
          <w:iCs/>
          <w:highlight w:val="green"/>
        </w:rPr>
        <w:t xml:space="preserve">performance </w:t>
      </w:r>
      <w:r w:rsidRPr="0018646B">
        <w:rPr>
          <w:i/>
          <w:iCs/>
          <w:highlight w:val="green"/>
        </w:rPr>
        <w:t>measures, no further information is require</w:t>
      </w:r>
      <w:r w:rsidR="005857F8" w:rsidRPr="0018646B">
        <w:rPr>
          <w:i/>
          <w:iCs/>
          <w:highlight w:val="green"/>
        </w:rPr>
        <w:t xml:space="preserve">d; however, you may provide evidence for any of the structures, processes, interventions, or service identified above. </w:t>
      </w:r>
    </w:p>
    <w:p w:rsidR="00A976E6" w:rsidRPr="0018646B" w:rsidRDefault="00A976E6" w:rsidP="002E2177">
      <w:pPr>
        <w:ind w:left="0" w:firstLine="0"/>
        <w:rPr>
          <w:i/>
          <w:iCs/>
        </w:rPr>
      </w:pPr>
    </w:p>
    <w:p w:rsidR="00A976E6" w:rsidRPr="0018646B" w:rsidRDefault="00492278" w:rsidP="002E2177">
      <w:pPr>
        <w:ind w:left="0" w:firstLine="0"/>
        <w:rPr>
          <w:iCs/>
        </w:rPr>
      </w:pPr>
      <w:r w:rsidRPr="0018646B">
        <w:rPr>
          <w:iCs/>
        </w:rPr>
        <w:t>HHS Guidelines for use of antiretroviral agents in HIV-infected adults and adolescents state “The primary goal of antiretroviral therapy is to reduce H</w:t>
      </w:r>
      <w:r w:rsidR="00F37775" w:rsidRPr="0018646B">
        <w:rPr>
          <w:iCs/>
        </w:rPr>
        <w:t>I</w:t>
      </w:r>
      <w:r w:rsidRPr="0018646B">
        <w:rPr>
          <w:iCs/>
        </w:rPr>
        <w:t xml:space="preserve">V-associated morbidity and mortality. This goal is best accomplished by using effective ART to maximally inhibit HIV replication, as defined by achieving and maintaining plasma HIV RNA (viral load) below levels detectable commercially available assays. Durable viral suppression improves immune function and quality of life, lowers the risk of both defining and non-AIDS- defining complications, and prolongs life. Based on emerging evidence, additional benefits of ART include reduction in HIV-associated inflammation and possibly its associated complications.” </w:t>
      </w:r>
    </w:p>
    <w:p w:rsidR="00492278" w:rsidRPr="0018646B" w:rsidRDefault="00492278" w:rsidP="002E2177">
      <w:pPr>
        <w:ind w:left="0" w:firstLine="0"/>
        <w:rPr>
          <w:iCs/>
        </w:rPr>
      </w:pPr>
    </w:p>
    <w:p w:rsidR="00492278" w:rsidRPr="0018646B" w:rsidRDefault="005B33F5" w:rsidP="002E2177">
      <w:pPr>
        <w:ind w:left="0" w:firstLine="0"/>
        <w:rPr>
          <w:iCs/>
        </w:rPr>
      </w:pPr>
      <w:r>
        <w:rPr>
          <w:iCs/>
        </w:rPr>
        <w:t>Reference</w:t>
      </w:r>
      <w:r w:rsidR="00492278" w:rsidRPr="0018646B">
        <w:rPr>
          <w:iCs/>
        </w:rPr>
        <w:t xml:space="preserve">: </w:t>
      </w:r>
    </w:p>
    <w:p w:rsidR="003E0BE0" w:rsidRPr="0018646B" w:rsidRDefault="003E0BE0" w:rsidP="002E2177">
      <w:pPr>
        <w:ind w:left="0" w:firstLine="0"/>
        <w:rPr>
          <w:iCs/>
        </w:rPr>
      </w:pPr>
      <w:r w:rsidRPr="0018646B">
        <w:rPr>
          <w:iCs/>
          <w:highlight w:val="yellow"/>
        </w:rPr>
        <w:t xml:space="preserve">Guidelines for the Use of Antiretroviral Agents in HIV-1-Infected Adults and Adolescents, </w:t>
      </w:r>
      <w:hyperlink r:id="rId18" w:history="1">
        <w:r w:rsidRPr="0018646B">
          <w:rPr>
            <w:rStyle w:val="Hyperlink"/>
            <w:iCs/>
            <w:highlight w:val="yellow"/>
          </w:rPr>
          <w:t>https://aidsinfo.nih.gov/guidelines/html/1/adult-and-adolescent-arv-guidelines/458/plasma-hiv-1-rna--viral-load--and-cd4-count-monitoring</w:t>
        </w:r>
      </w:hyperlink>
      <w:r w:rsidRPr="0018646B">
        <w:rPr>
          <w:iCs/>
        </w:rPr>
        <w:t xml:space="preserve"> </w:t>
      </w:r>
    </w:p>
    <w:p w:rsidR="002B06BD" w:rsidRPr="0018646B" w:rsidRDefault="00925F11" w:rsidP="002E2177">
      <w:pPr>
        <w:ind w:left="0" w:firstLine="0"/>
        <w:rPr>
          <w:b/>
          <w:iCs/>
          <w:caps/>
        </w:rPr>
      </w:pPr>
      <w:r w:rsidRPr="0018646B">
        <w:rPr>
          <w:b/>
          <w:iCs/>
          <w:caps/>
        </w:rPr>
        <w:t>_________________________</w:t>
      </w:r>
    </w:p>
    <w:p w:rsidR="00496AF8" w:rsidRPr="0018646B" w:rsidRDefault="002F20A7" w:rsidP="002E2177">
      <w:pPr>
        <w:ind w:left="0" w:firstLine="0"/>
        <w:rPr>
          <w:b/>
          <w:iCs/>
        </w:rPr>
      </w:pPr>
      <w:r w:rsidRPr="0018646B">
        <w:rPr>
          <w:b/>
          <w:iCs/>
          <w:caps/>
        </w:rPr>
        <w:t>intermediate outcome</w:t>
      </w:r>
      <w:r w:rsidR="007573F0" w:rsidRPr="0018646B">
        <w:rPr>
          <w:b/>
          <w:iCs/>
          <w:caps/>
        </w:rPr>
        <w:t>, PROCESS, or STRUCTURE</w:t>
      </w:r>
      <w:r w:rsidRPr="0018646B">
        <w:rPr>
          <w:b/>
          <w:iCs/>
          <w:caps/>
        </w:rPr>
        <w:t xml:space="preserve"> </w:t>
      </w:r>
      <w:r w:rsidR="0055559D" w:rsidRPr="0018646B">
        <w:rPr>
          <w:b/>
          <w:iCs/>
          <w:caps/>
        </w:rPr>
        <w:t xml:space="preserve">PERFORMANCE </w:t>
      </w:r>
      <w:r w:rsidRPr="0018646B">
        <w:rPr>
          <w:b/>
          <w:iCs/>
          <w:caps/>
        </w:rPr>
        <w:t>measure</w:t>
      </w:r>
      <w:r w:rsidR="00496AF8" w:rsidRPr="0018646B">
        <w:rPr>
          <w:b/>
          <w:iCs/>
        </w:rPr>
        <w:t xml:space="preserve"> </w:t>
      </w:r>
    </w:p>
    <w:p w:rsidR="00496AF8" w:rsidRPr="0018646B" w:rsidRDefault="002B06BD" w:rsidP="002E2177">
      <w:pPr>
        <w:ind w:left="0" w:firstLine="0"/>
        <w:rPr>
          <w:i/>
          <w:iCs/>
        </w:rPr>
      </w:pPr>
      <w:bookmarkStart w:id="5" w:name="Section1a3"/>
      <w:bookmarkEnd w:id="5"/>
      <w:r w:rsidRPr="0018646B">
        <w:rPr>
          <w:b/>
          <w:iCs/>
          <w:color w:val="0000FF"/>
        </w:rPr>
        <w:t>1a.3.</w:t>
      </w:r>
      <w:r w:rsidRPr="0018646B">
        <w:rPr>
          <w:i/>
          <w:iCs/>
          <w:color w:val="0000FF"/>
        </w:rPr>
        <w:t xml:space="preserve"> </w:t>
      </w:r>
      <w:r w:rsidRPr="0018646B">
        <w:rPr>
          <w:b/>
          <w:iCs/>
        </w:rPr>
        <w:t xml:space="preserve">Briefly state or diagram the </w:t>
      </w:r>
      <w:r w:rsidR="00236F87" w:rsidRPr="0018646B">
        <w:rPr>
          <w:b/>
          <w:iCs/>
        </w:rPr>
        <w:t xml:space="preserve">path </w:t>
      </w:r>
      <w:r w:rsidRPr="0018646B">
        <w:rPr>
          <w:b/>
          <w:iCs/>
        </w:rPr>
        <w:t>between structure, process, intermediate outcome, and health outcomes</w:t>
      </w:r>
      <w:r w:rsidRPr="0018646B">
        <w:rPr>
          <w:iCs/>
        </w:rPr>
        <w:t>. Include all the steps between the measure focus and the health outcome.</w:t>
      </w:r>
      <w:r w:rsidRPr="0018646B">
        <w:rPr>
          <w:i/>
          <w:iCs/>
        </w:rPr>
        <w:t xml:space="preserve"> </w:t>
      </w:r>
    </w:p>
    <w:p w:rsidR="007C1887" w:rsidRPr="0018646B" w:rsidRDefault="007C1887" w:rsidP="002E2177">
      <w:pPr>
        <w:ind w:left="0" w:firstLine="0"/>
      </w:pPr>
    </w:p>
    <w:p w:rsidR="000419EB" w:rsidRPr="0018646B" w:rsidRDefault="000419EB" w:rsidP="000419EB">
      <w:pPr>
        <w:ind w:left="432" w:hanging="432"/>
        <w:rPr>
          <w:color w:val="0000FF"/>
        </w:rPr>
      </w:pPr>
      <w:r w:rsidRPr="0018646B">
        <w:rPr>
          <w:color w:val="0000FF"/>
        </w:rPr>
        <w:t>HIV Acquisition—Number of people living with HIV (PLWH) (factors that effect at a community level: prevalence and patterns of risk behaviors such as unprotected anal or vaginal sex; prevalence and use patterns of protective behaviors and interventions, such as condom use or PrEP; prevalence of HIV within drug-using and sexual networks; viral load levels and distribution of viral load suppression among PLWH; etc.)</w:t>
      </w:r>
    </w:p>
    <w:p w:rsidR="000419EB" w:rsidRPr="0018646B" w:rsidRDefault="000419EB" w:rsidP="000419EB">
      <w:pPr>
        <w:ind w:left="432" w:hanging="432"/>
        <w:rPr>
          <w:color w:val="0000FF"/>
        </w:rPr>
      </w:pPr>
      <w:r w:rsidRPr="0018646B">
        <w:rPr>
          <w:noProof/>
          <w:color w:val="0000FF"/>
        </w:rPr>
        <mc:AlternateContent>
          <mc:Choice Requires="wps">
            <w:drawing>
              <wp:anchor distT="0" distB="0" distL="114300" distR="114300" simplePos="0" relativeHeight="251669504" behindDoc="0" locked="0" layoutInCell="1" allowOverlap="1" wp14:anchorId="77F087A7" wp14:editId="6191177D">
                <wp:simplePos x="0" y="0"/>
                <wp:positionH relativeFrom="column">
                  <wp:posOffset>2385060</wp:posOffset>
                </wp:positionH>
                <wp:positionV relativeFrom="paragraph">
                  <wp:posOffset>5715</wp:posOffset>
                </wp:positionV>
                <wp:extent cx="182880" cy="609600"/>
                <wp:effectExtent l="19050" t="0" r="26670" b="38100"/>
                <wp:wrapNone/>
                <wp:docPr id="6" name="Down Arrow 6"/>
                <wp:cNvGraphicFramePr/>
                <a:graphic xmlns:a="http://schemas.openxmlformats.org/drawingml/2006/main">
                  <a:graphicData uri="http://schemas.microsoft.com/office/word/2010/wordprocessingShape">
                    <wps:wsp>
                      <wps:cNvSpPr/>
                      <wps:spPr>
                        <a:xfrm>
                          <a:off x="0" y="0"/>
                          <a:ext cx="182880" cy="6096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485C84"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6" o:spid="_x0000_s1026" type="#_x0000_t67" style="position:absolute;margin-left:187.8pt;margin-top:.45pt;width:14.4pt;height:4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" adj="18360" fillcolor="#4f81bd [3204]" strokecolor="#243f60 [1604]" strokeweight="2pt"/>
            </w:pict>
          </mc:Fallback>
        </mc:AlternateContent>
      </w:r>
    </w:p>
    <w:p w:rsidR="000419EB" w:rsidRPr="0018646B" w:rsidRDefault="000419EB" w:rsidP="000419EB">
      <w:pPr>
        <w:ind w:left="432" w:hanging="432"/>
        <w:rPr>
          <w:color w:val="0000FF"/>
        </w:rPr>
      </w:pPr>
    </w:p>
    <w:p w:rsidR="000419EB" w:rsidRPr="0018646B" w:rsidRDefault="000419EB" w:rsidP="000419EB">
      <w:pPr>
        <w:ind w:left="432" w:hanging="432"/>
        <w:rPr>
          <w:color w:val="0000FF"/>
        </w:rPr>
      </w:pPr>
    </w:p>
    <w:p w:rsidR="000419EB" w:rsidRPr="0018646B" w:rsidRDefault="000419EB" w:rsidP="000419EB">
      <w:pPr>
        <w:ind w:left="432" w:hanging="432"/>
        <w:rPr>
          <w:color w:val="0000FF"/>
        </w:rPr>
      </w:pPr>
    </w:p>
    <w:p w:rsidR="000419EB" w:rsidRPr="0018646B" w:rsidRDefault="000419EB" w:rsidP="000419EB">
      <w:pPr>
        <w:ind w:left="432" w:hanging="432"/>
        <w:rPr>
          <w:color w:val="0000FF"/>
        </w:rPr>
      </w:pPr>
      <w:r w:rsidRPr="0018646B">
        <w:rPr>
          <w:color w:val="0000FF"/>
        </w:rPr>
        <w:t xml:space="preserve">HIV Diagnosis—Percentage of PLWH who are </w:t>
      </w:r>
      <w:r w:rsidRPr="0018646B">
        <w:rPr>
          <w:i/>
          <w:color w:val="0000FF"/>
        </w:rPr>
        <w:t>known</w:t>
      </w:r>
      <w:r w:rsidRPr="0018646B">
        <w:rPr>
          <w:color w:val="0000FF"/>
        </w:rPr>
        <w:t xml:space="preserve"> to be living with HIV (factors that affect at community level: availability and accessibility of HIV testing services; testing implementation patterns and policies, such as testing frequency and triggers for testing/retesting; test technologies used; completeness of HIV test and diagnosis reporting to surveillance systems; etc.)</w:t>
      </w:r>
    </w:p>
    <w:p w:rsidR="000419EB" w:rsidRPr="0018646B" w:rsidRDefault="000419EB" w:rsidP="000419EB">
      <w:pPr>
        <w:ind w:left="432" w:hanging="432"/>
        <w:rPr>
          <w:color w:val="0000FF"/>
        </w:rPr>
      </w:pPr>
      <w:r w:rsidRPr="0018646B">
        <w:rPr>
          <w:noProof/>
          <w:color w:val="0000FF"/>
        </w:rPr>
        <mc:AlternateContent>
          <mc:Choice Requires="wps">
            <w:drawing>
              <wp:anchor distT="0" distB="0" distL="114300" distR="114300" simplePos="0" relativeHeight="251670528" behindDoc="0" locked="0" layoutInCell="1" allowOverlap="1" wp14:anchorId="163F0023" wp14:editId="09F4FD82">
                <wp:simplePos x="0" y="0"/>
                <wp:positionH relativeFrom="column">
                  <wp:posOffset>2400300</wp:posOffset>
                </wp:positionH>
                <wp:positionV relativeFrom="paragraph">
                  <wp:posOffset>91440</wp:posOffset>
                </wp:positionV>
                <wp:extent cx="182880" cy="609600"/>
                <wp:effectExtent l="19050" t="0" r="26670" b="38100"/>
                <wp:wrapNone/>
                <wp:docPr id="7" name="Down Arrow 7"/>
                <wp:cNvGraphicFramePr/>
                <a:graphic xmlns:a="http://schemas.openxmlformats.org/drawingml/2006/main">
                  <a:graphicData uri="http://schemas.microsoft.com/office/word/2010/wordprocessingShape">
                    <wps:wsp>
                      <wps:cNvSpPr/>
                      <wps:spPr>
                        <a:xfrm>
                          <a:off x="0" y="0"/>
                          <a:ext cx="182880" cy="6096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6A167E" id="Down Arrow 7" o:spid="_x0000_s1026" type="#_x0000_t67" style="position:absolute;margin-left:189pt;margin-top:7.2pt;width:14.4pt;height:4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" adj="18360" fillcolor="#4f81bd [3204]" strokecolor="#243f60 [1604]" strokeweight="2pt"/>
            </w:pict>
          </mc:Fallback>
        </mc:AlternateContent>
      </w:r>
    </w:p>
    <w:p w:rsidR="000419EB" w:rsidRPr="0018646B" w:rsidRDefault="000419EB" w:rsidP="000419EB">
      <w:pPr>
        <w:ind w:left="432" w:hanging="432"/>
        <w:rPr>
          <w:color w:val="0000FF"/>
        </w:rPr>
      </w:pPr>
    </w:p>
    <w:p w:rsidR="000419EB" w:rsidRPr="0018646B" w:rsidRDefault="000419EB" w:rsidP="000419EB">
      <w:pPr>
        <w:ind w:left="432" w:hanging="432"/>
        <w:rPr>
          <w:color w:val="0000FF"/>
        </w:rPr>
      </w:pPr>
    </w:p>
    <w:p w:rsidR="000419EB" w:rsidRPr="0018646B" w:rsidRDefault="000419EB" w:rsidP="000419EB">
      <w:pPr>
        <w:ind w:left="432" w:hanging="432"/>
        <w:rPr>
          <w:color w:val="0000FF"/>
        </w:rPr>
      </w:pPr>
    </w:p>
    <w:p w:rsidR="000419EB" w:rsidRPr="0018646B" w:rsidRDefault="000419EB" w:rsidP="000419EB">
      <w:pPr>
        <w:ind w:left="432" w:hanging="432"/>
        <w:rPr>
          <w:color w:val="0000FF"/>
        </w:rPr>
      </w:pPr>
    </w:p>
    <w:p w:rsidR="000419EB" w:rsidRPr="0018646B" w:rsidRDefault="000419EB" w:rsidP="000419EB">
      <w:pPr>
        <w:ind w:left="432" w:hanging="432"/>
        <w:rPr>
          <w:color w:val="0000FF"/>
        </w:rPr>
      </w:pPr>
      <w:r w:rsidRPr="0018646B">
        <w:rPr>
          <w:noProof/>
          <w:color w:val="0000FF"/>
        </w:rPr>
        <mc:AlternateContent>
          <mc:Choice Requires="wps">
            <w:drawing>
              <wp:anchor distT="0" distB="0" distL="114300" distR="114300" simplePos="0" relativeHeight="251671552" behindDoc="0" locked="0" layoutInCell="1" allowOverlap="1" wp14:anchorId="16AE1FF2" wp14:editId="4C6A1B9F">
                <wp:simplePos x="0" y="0"/>
                <wp:positionH relativeFrom="column">
                  <wp:posOffset>2499360</wp:posOffset>
                </wp:positionH>
                <wp:positionV relativeFrom="paragraph">
                  <wp:posOffset>844550</wp:posOffset>
                </wp:positionV>
                <wp:extent cx="182880" cy="609600"/>
                <wp:effectExtent l="19050" t="0" r="26670" b="38100"/>
                <wp:wrapNone/>
                <wp:docPr id="8" name="Down Arrow 8"/>
                <wp:cNvGraphicFramePr/>
                <a:graphic xmlns:a="http://schemas.openxmlformats.org/drawingml/2006/main">
                  <a:graphicData uri="http://schemas.microsoft.com/office/word/2010/wordprocessingShape">
                    <wps:wsp>
                      <wps:cNvSpPr/>
                      <wps:spPr>
                        <a:xfrm>
                          <a:off x="0" y="0"/>
                          <a:ext cx="182880" cy="6096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EB0F84" id="Down Arrow 8" o:spid="_x0000_s1026" type="#_x0000_t67" style="position:absolute;margin-left:196.8pt;margin-top:66.5pt;width:14.4pt;height:4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" adj="18360" fillcolor="#4f81bd [3204]" strokecolor="#243f60 [1604]" strokeweight="2pt"/>
            </w:pict>
          </mc:Fallback>
        </mc:AlternateContent>
      </w:r>
      <w:r w:rsidRPr="0018646B">
        <w:rPr>
          <w:color w:val="0000FF"/>
        </w:rPr>
        <w:t>HIV Care—Percentage of PLWH who enter into and remain in care for their HIV infections (factors that affect include system-level [e.g., insurer network composition; insurance coverage], provider –level [e.g., capacity to accept new patients] and patient level [e.g, homelessness; income] determinants of HIV care availability and accessibility; surveillance system data quality and completeness [e.g., CD4/VL lab reporting requirements and completeness]; etc.)</w:t>
      </w:r>
    </w:p>
    <w:p w:rsidR="000419EB" w:rsidRPr="0018646B" w:rsidRDefault="000419EB" w:rsidP="000419EB">
      <w:pPr>
        <w:ind w:left="432" w:hanging="432"/>
        <w:rPr>
          <w:color w:val="0000FF"/>
        </w:rPr>
      </w:pPr>
    </w:p>
    <w:p w:rsidR="000419EB" w:rsidRPr="0018646B" w:rsidRDefault="000419EB" w:rsidP="000419EB">
      <w:pPr>
        <w:ind w:left="432" w:hanging="432"/>
        <w:rPr>
          <w:color w:val="0000FF"/>
        </w:rPr>
      </w:pPr>
      <w:r w:rsidRPr="0018646B">
        <w:rPr>
          <w:color w:val="0000FF"/>
        </w:rPr>
        <w:t>HIV Treatment—Percentage of PLWH who are prescribed and adhere to effective ART regimens (factors that affect at community level: also a mix of health system [e.g., insurance coverage among PLWH and benefit designs like formulary tiering; transportation networks and their alignment with pharmacy distribution]; provider [e.g., awareness of and adherence to DHHS ART treatment guidelines], patient [e.g., presence of comorbid conditions like SUD or mental illness]; and regimen [e.g. pill burden and use complexity; side effects; etc.] determinants)</w:t>
      </w:r>
    </w:p>
    <w:p w:rsidR="000419EB" w:rsidRPr="0018646B" w:rsidRDefault="000419EB" w:rsidP="000419EB">
      <w:pPr>
        <w:ind w:left="432" w:hanging="432"/>
        <w:rPr>
          <w:color w:val="0000FF"/>
        </w:rPr>
      </w:pPr>
      <w:r w:rsidRPr="0018646B">
        <w:rPr>
          <w:noProof/>
          <w:color w:val="0000FF"/>
        </w:rPr>
        <mc:AlternateContent>
          <mc:Choice Requires="wps">
            <w:drawing>
              <wp:anchor distT="0" distB="0" distL="114300" distR="114300" simplePos="0" relativeHeight="251672576" behindDoc="0" locked="0" layoutInCell="1" allowOverlap="1" wp14:anchorId="41928D2D" wp14:editId="2E3EC86C">
                <wp:simplePos x="0" y="0"/>
                <wp:positionH relativeFrom="column">
                  <wp:posOffset>2423160</wp:posOffset>
                </wp:positionH>
                <wp:positionV relativeFrom="paragraph">
                  <wp:posOffset>83820</wp:posOffset>
                </wp:positionV>
                <wp:extent cx="182880" cy="609600"/>
                <wp:effectExtent l="19050" t="0" r="26670" b="38100"/>
                <wp:wrapNone/>
                <wp:docPr id="9" name="Down Arrow 9"/>
                <wp:cNvGraphicFramePr/>
                <a:graphic xmlns:a="http://schemas.openxmlformats.org/drawingml/2006/main">
                  <a:graphicData uri="http://schemas.microsoft.com/office/word/2010/wordprocessingShape">
                    <wps:wsp>
                      <wps:cNvSpPr/>
                      <wps:spPr>
                        <a:xfrm>
                          <a:off x="0" y="0"/>
                          <a:ext cx="182880" cy="6096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D304A6" id="Down Arrow 9" o:spid="_x0000_s1026" type="#_x0000_t67" style="position:absolute;margin-left:190.8pt;margin-top:6.6pt;width:14.4pt;height:4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" adj="18360" fillcolor="#4f81bd [3204]" strokecolor="#243f60 [1604]" strokeweight="2pt"/>
            </w:pict>
          </mc:Fallback>
        </mc:AlternateContent>
      </w:r>
    </w:p>
    <w:p w:rsidR="000419EB" w:rsidRPr="0018646B" w:rsidRDefault="000419EB" w:rsidP="000419EB">
      <w:pPr>
        <w:ind w:left="432" w:hanging="432"/>
        <w:rPr>
          <w:color w:val="0000FF"/>
        </w:rPr>
      </w:pPr>
    </w:p>
    <w:p w:rsidR="000419EB" w:rsidRPr="0018646B" w:rsidRDefault="000419EB" w:rsidP="000419EB">
      <w:pPr>
        <w:ind w:left="432" w:hanging="432"/>
        <w:rPr>
          <w:color w:val="0000FF"/>
        </w:rPr>
      </w:pPr>
    </w:p>
    <w:p w:rsidR="000419EB" w:rsidRPr="0018646B" w:rsidRDefault="000419EB" w:rsidP="000419EB">
      <w:pPr>
        <w:ind w:left="432" w:hanging="432"/>
        <w:rPr>
          <w:color w:val="0000FF"/>
        </w:rPr>
      </w:pPr>
    </w:p>
    <w:p w:rsidR="000419EB" w:rsidRPr="0018646B" w:rsidRDefault="000419EB" w:rsidP="000419EB">
      <w:pPr>
        <w:ind w:left="432" w:hanging="432"/>
        <w:rPr>
          <w:color w:val="0000FF"/>
        </w:rPr>
      </w:pPr>
    </w:p>
    <w:p w:rsidR="000419EB" w:rsidRPr="0018646B" w:rsidRDefault="000419EB" w:rsidP="000419EB">
      <w:pPr>
        <w:ind w:left="432" w:hanging="432"/>
        <w:rPr>
          <w:color w:val="0000FF"/>
        </w:rPr>
      </w:pPr>
      <w:r w:rsidRPr="0018646B">
        <w:rPr>
          <w:color w:val="0000FF"/>
        </w:rPr>
        <w:t>HIV Viral Load Suppression-- Percentage of PLWH who are virally suppressed (factors that affect at community level: determinants of surveillance system data completeness, test technologies in use, physician monitoring and prescribing practices, prevalence and circulation of resistant strains within the community, etc.)</w:t>
      </w:r>
    </w:p>
    <w:p w:rsidR="000419EB" w:rsidRPr="0018646B" w:rsidRDefault="000419EB" w:rsidP="000419EB">
      <w:pPr>
        <w:ind w:left="432" w:hanging="432"/>
        <w:rPr>
          <w:color w:val="0000FF"/>
        </w:rPr>
      </w:pPr>
      <w:r w:rsidRPr="0018646B">
        <w:rPr>
          <w:noProof/>
          <w:color w:val="0000FF"/>
        </w:rPr>
        <mc:AlternateContent>
          <mc:Choice Requires="wps">
            <w:drawing>
              <wp:anchor distT="0" distB="0" distL="114300" distR="114300" simplePos="0" relativeHeight="251673600" behindDoc="0" locked="0" layoutInCell="1" allowOverlap="1" wp14:anchorId="399B9F3E" wp14:editId="2238D65B">
                <wp:simplePos x="0" y="0"/>
                <wp:positionH relativeFrom="column">
                  <wp:posOffset>2446020</wp:posOffset>
                </wp:positionH>
                <wp:positionV relativeFrom="paragraph">
                  <wp:posOffset>106045</wp:posOffset>
                </wp:positionV>
                <wp:extent cx="182880" cy="609600"/>
                <wp:effectExtent l="19050" t="0" r="26670" b="38100"/>
                <wp:wrapNone/>
                <wp:docPr id="10" name="Down Arrow 10"/>
                <wp:cNvGraphicFramePr/>
                <a:graphic xmlns:a="http://schemas.openxmlformats.org/drawingml/2006/main">
                  <a:graphicData uri="http://schemas.microsoft.com/office/word/2010/wordprocessingShape">
                    <wps:wsp>
                      <wps:cNvSpPr/>
                      <wps:spPr>
                        <a:xfrm>
                          <a:off x="0" y="0"/>
                          <a:ext cx="182880" cy="6096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CF7708" id="Down Arrow 10" o:spid="_x0000_s1026" type="#_x0000_t67" style="position:absolute;margin-left:192.6pt;margin-top:8.35pt;width:14.4pt;height:4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" adj="18360" fillcolor="#4f81bd [3204]" strokecolor="#243f60 [1604]" strokeweight="2pt"/>
            </w:pict>
          </mc:Fallback>
        </mc:AlternateContent>
      </w:r>
    </w:p>
    <w:p w:rsidR="000419EB" w:rsidRPr="0018646B" w:rsidRDefault="000419EB" w:rsidP="000419EB">
      <w:pPr>
        <w:ind w:left="432" w:hanging="432"/>
        <w:rPr>
          <w:color w:val="0000FF"/>
        </w:rPr>
      </w:pPr>
    </w:p>
    <w:p w:rsidR="000419EB" w:rsidRPr="0018646B" w:rsidRDefault="000419EB" w:rsidP="000419EB">
      <w:pPr>
        <w:ind w:left="432" w:hanging="432"/>
        <w:rPr>
          <w:color w:val="0000FF"/>
        </w:rPr>
      </w:pPr>
    </w:p>
    <w:p w:rsidR="000419EB" w:rsidRPr="0018646B" w:rsidRDefault="000419EB" w:rsidP="000419EB">
      <w:pPr>
        <w:ind w:left="432" w:hanging="432"/>
        <w:rPr>
          <w:color w:val="0000FF"/>
        </w:rPr>
      </w:pPr>
    </w:p>
    <w:p w:rsidR="000419EB" w:rsidRPr="0018646B" w:rsidRDefault="000419EB" w:rsidP="000419EB">
      <w:pPr>
        <w:ind w:left="432" w:hanging="432"/>
        <w:rPr>
          <w:color w:val="0000FF"/>
        </w:rPr>
      </w:pPr>
    </w:p>
    <w:p w:rsidR="000419EB" w:rsidRPr="0018646B" w:rsidRDefault="000419EB" w:rsidP="000419EB">
      <w:pPr>
        <w:ind w:left="432" w:hanging="432"/>
        <w:rPr>
          <w:color w:val="0000FF"/>
        </w:rPr>
      </w:pPr>
      <w:r w:rsidRPr="0018646B">
        <w:rPr>
          <w:color w:val="0000FF"/>
        </w:rPr>
        <w:t>HIV-Related Individual and Public Health Outcomes: Life expectancy, quality of life, time until development of AIDS, incidence of opportunistic infections, incidence and severity of chronic conditions that can be triggered/exacerbated by HIV-related inflammation, number of transmissions, etc.</w:t>
      </w:r>
    </w:p>
    <w:p w:rsidR="000419EB" w:rsidRPr="0018646B" w:rsidRDefault="000419EB" w:rsidP="002E2177">
      <w:pPr>
        <w:ind w:left="0" w:firstLine="0"/>
      </w:pPr>
    </w:p>
    <w:p w:rsidR="0055559D" w:rsidRPr="0018646B" w:rsidRDefault="00FD4D82" w:rsidP="002E2177">
      <w:pPr>
        <w:ind w:left="0" w:firstLine="0"/>
        <w:rPr>
          <w:b/>
        </w:rPr>
      </w:pPr>
      <w:r w:rsidRPr="0018646B">
        <w:rPr>
          <w:b/>
          <w:color w:val="0000FF"/>
        </w:rPr>
        <w:t>1</w:t>
      </w:r>
      <w:r w:rsidR="00773485" w:rsidRPr="0018646B">
        <w:rPr>
          <w:b/>
          <w:color w:val="0000FF"/>
        </w:rPr>
        <w:t>a</w:t>
      </w:r>
      <w:r w:rsidRPr="0018646B">
        <w:rPr>
          <w:b/>
          <w:color w:val="0000FF"/>
        </w:rPr>
        <w:t>.</w:t>
      </w:r>
      <w:r w:rsidR="0094689F" w:rsidRPr="0018646B">
        <w:rPr>
          <w:b/>
          <w:color w:val="0000FF"/>
        </w:rPr>
        <w:t>3.</w:t>
      </w:r>
      <w:r w:rsidR="002B06BD" w:rsidRPr="0018646B">
        <w:rPr>
          <w:b/>
          <w:color w:val="0000FF"/>
        </w:rPr>
        <w:t>1</w:t>
      </w:r>
      <w:r w:rsidR="001B38BF" w:rsidRPr="0018646B">
        <w:rPr>
          <w:b/>
          <w:color w:val="0000FF"/>
        </w:rPr>
        <w:t>.</w:t>
      </w:r>
      <w:r w:rsidRPr="0018646B">
        <w:rPr>
          <w:color w:val="0000FF"/>
        </w:rPr>
        <w:t xml:space="preserve"> </w:t>
      </w:r>
      <w:r w:rsidRPr="0018646B">
        <w:rPr>
          <w:b/>
        </w:rPr>
        <w:t>What is the source of</w:t>
      </w:r>
      <w:r w:rsidR="00030F43" w:rsidRPr="0018646B">
        <w:rPr>
          <w:b/>
        </w:rPr>
        <w:t xml:space="preserve"> the</w:t>
      </w:r>
      <w:r w:rsidRPr="0018646B">
        <w:rPr>
          <w:b/>
        </w:rPr>
        <w:t xml:space="preserve"> </w:t>
      </w:r>
      <w:r w:rsidR="007573F0" w:rsidRPr="0018646B">
        <w:rPr>
          <w:b/>
          <w:u w:val="single"/>
        </w:rPr>
        <w:t xml:space="preserve">systematic review of the body of </w:t>
      </w:r>
      <w:r w:rsidRPr="0018646B">
        <w:rPr>
          <w:b/>
          <w:u w:val="single"/>
        </w:rPr>
        <w:t>evi</w:t>
      </w:r>
      <w:r w:rsidR="00201FF9" w:rsidRPr="0018646B">
        <w:rPr>
          <w:b/>
          <w:u w:val="single"/>
        </w:rPr>
        <w:t>dence</w:t>
      </w:r>
      <w:r w:rsidR="00201FF9" w:rsidRPr="0018646B">
        <w:rPr>
          <w:b/>
        </w:rPr>
        <w:t xml:space="preserve"> that </w:t>
      </w:r>
      <w:r w:rsidR="00BA579E" w:rsidRPr="0018646B">
        <w:rPr>
          <w:b/>
        </w:rPr>
        <w:t xml:space="preserve">supports </w:t>
      </w:r>
      <w:r w:rsidR="007C1887" w:rsidRPr="0018646B">
        <w:rPr>
          <w:b/>
        </w:rPr>
        <w:t xml:space="preserve">the </w:t>
      </w:r>
      <w:r w:rsidR="00BA579E" w:rsidRPr="0018646B">
        <w:rPr>
          <w:b/>
        </w:rPr>
        <w:t>performance measure</w:t>
      </w:r>
      <w:r w:rsidRPr="0018646B">
        <w:rPr>
          <w:b/>
        </w:rPr>
        <w:t>?</w:t>
      </w:r>
    </w:p>
    <w:p w:rsidR="00FD4D82" w:rsidRPr="0018646B" w:rsidRDefault="008D348D"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91207C" w:rsidRPr="0018646B">
            <w:rPr>
              <w:rFonts w:ascii="Segoe UI Symbol" w:eastAsia="MS Gothic" w:hAnsi="Segoe UI Symbol" w:cs="Segoe UI Symbol"/>
              <w:bCs/>
              <w:color w:val="0000FF"/>
            </w:rPr>
            <w:t>☒</w:t>
          </w:r>
        </w:sdtContent>
      </w:sdt>
      <w:r w:rsidR="001B38BF" w:rsidRPr="0018646B">
        <w:t xml:space="preserve"> Clinical Practice </w:t>
      </w:r>
      <w:r w:rsidR="00AA5587" w:rsidRPr="0018646B">
        <w:t>G</w:t>
      </w:r>
      <w:r w:rsidR="001B38BF" w:rsidRPr="0018646B">
        <w:t>uideline</w:t>
      </w:r>
      <w:r w:rsidR="00E746A2" w:rsidRPr="0018646B">
        <w:t xml:space="preserve"> recommendation</w:t>
      </w:r>
      <w:r w:rsidR="001B38BF" w:rsidRPr="0018646B">
        <w:t xml:space="preserve"> – </w:t>
      </w:r>
      <w:r w:rsidR="00FD4D82" w:rsidRPr="0018646B">
        <w:rPr>
          <w:b/>
          <w:i/>
        </w:rPr>
        <w:t>complete section</w:t>
      </w:r>
      <w:r w:rsidR="00CF0AB1" w:rsidRPr="0018646B">
        <w:rPr>
          <w:b/>
          <w:i/>
        </w:rPr>
        <w:t>s</w:t>
      </w:r>
      <w:r w:rsidR="00FD4D82" w:rsidRPr="0018646B">
        <w:rPr>
          <w:b/>
          <w:i/>
        </w:rPr>
        <w:t xml:space="preserve"> </w:t>
      </w:r>
      <w:hyperlink w:anchor="Section1a4" w:history="1">
        <w:r w:rsidR="00FD4D82" w:rsidRPr="0018646B">
          <w:rPr>
            <w:rStyle w:val="Hyperlink"/>
            <w:b/>
            <w:i/>
          </w:rPr>
          <w:t>1</w:t>
        </w:r>
        <w:r w:rsidR="00773485" w:rsidRPr="0018646B">
          <w:rPr>
            <w:rStyle w:val="Hyperlink"/>
            <w:b/>
            <w:i/>
          </w:rPr>
          <w:t>a</w:t>
        </w:r>
        <w:r w:rsidR="00701CC3" w:rsidRPr="0018646B">
          <w:rPr>
            <w:rStyle w:val="Hyperlink"/>
            <w:b/>
            <w:i/>
          </w:rPr>
          <w:t>.</w:t>
        </w:r>
        <w:r w:rsidR="00AA5587" w:rsidRPr="0018646B">
          <w:rPr>
            <w:rStyle w:val="Hyperlink"/>
            <w:b/>
            <w:i/>
          </w:rPr>
          <w:t>4</w:t>
        </w:r>
      </w:hyperlink>
      <w:r w:rsidR="00CB06C9" w:rsidRPr="0018646B">
        <w:rPr>
          <w:b/>
          <w:i/>
        </w:rPr>
        <w:t>,</w:t>
      </w:r>
      <w:r w:rsidR="00773485" w:rsidRPr="0018646B">
        <w:rPr>
          <w:b/>
          <w:i/>
        </w:rPr>
        <w:t xml:space="preserve"> and </w:t>
      </w:r>
      <w:hyperlink w:anchor="Section1a7" w:history="1">
        <w:r w:rsidR="00773485" w:rsidRPr="0018646B">
          <w:rPr>
            <w:rStyle w:val="Hyperlink"/>
            <w:b/>
            <w:i/>
          </w:rPr>
          <w:t>1a.7</w:t>
        </w:r>
      </w:hyperlink>
      <w:r w:rsidR="001B38BF" w:rsidRPr="0018646B">
        <w:t xml:space="preserve"> </w:t>
      </w:r>
    </w:p>
    <w:p w:rsidR="00FD4D82" w:rsidRPr="0018646B" w:rsidRDefault="008D348D"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18646B">
            <w:rPr>
              <w:rFonts w:ascii="Segoe UI Symbol" w:eastAsia="MS Gothic" w:hAnsi="Segoe UI Symbol" w:cs="Segoe UI Symbol"/>
              <w:bCs/>
              <w:color w:val="0000FF"/>
            </w:rPr>
            <w:t>☐</w:t>
          </w:r>
        </w:sdtContent>
      </w:sdt>
      <w:r w:rsidR="00FD4D82" w:rsidRPr="0018646B">
        <w:t xml:space="preserve"> US Preventive Services Task Force Recommendation </w:t>
      </w:r>
      <w:r w:rsidR="001B38BF" w:rsidRPr="0018646B">
        <w:t xml:space="preserve">– </w:t>
      </w:r>
      <w:r w:rsidR="00FD4D82" w:rsidRPr="0018646B">
        <w:rPr>
          <w:b/>
          <w:i/>
        </w:rPr>
        <w:t>complete section</w:t>
      </w:r>
      <w:r w:rsidR="00CF0AB1" w:rsidRPr="0018646B">
        <w:rPr>
          <w:b/>
          <w:i/>
        </w:rPr>
        <w:t>s</w:t>
      </w:r>
      <w:r w:rsidR="00FD4D82" w:rsidRPr="0018646B">
        <w:rPr>
          <w:b/>
          <w:i/>
        </w:rPr>
        <w:t xml:space="preserve"> </w:t>
      </w:r>
      <w:hyperlink w:anchor="Section1a5" w:history="1">
        <w:r w:rsidR="00FD4D82" w:rsidRPr="0018646B">
          <w:rPr>
            <w:rStyle w:val="Hyperlink"/>
            <w:b/>
            <w:i/>
          </w:rPr>
          <w:t>1</w:t>
        </w:r>
        <w:r w:rsidR="00773485" w:rsidRPr="0018646B">
          <w:rPr>
            <w:rStyle w:val="Hyperlink"/>
            <w:b/>
            <w:i/>
          </w:rPr>
          <w:t>a</w:t>
        </w:r>
        <w:r w:rsidR="00FD4D82" w:rsidRPr="0018646B">
          <w:rPr>
            <w:rStyle w:val="Hyperlink"/>
            <w:b/>
            <w:i/>
          </w:rPr>
          <w:t>.5</w:t>
        </w:r>
      </w:hyperlink>
      <w:r w:rsidR="007C1887" w:rsidRPr="0018646B">
        <w:rPr>
          <w:b/>
          <w:i/>
        </w:rPr>
        <w:t xml:space="preserve"> and </w:t>
      </w:r>
      <w:hyperlink w:anchor="Section1a7" w:history="1">
        <w:r w:rsidR="00CF772F" w:rsidRPr="0018646B">
          <w:rPr>
            <w:rStyle w:val="Hyperlink"/>
            <w:b/>
            <w:i/>
          </w:rPr>
          <w:t>1a.7</w:t>
        </w:r>
      </w:hyperlink>
    </w:p>
    <w:p w:rsidR="007573F0" w:rsidRPr="0018646B" w:rsidRDefault="008D348D" w:rsidP="002E2177">
      <w:pPr>
        <w:ind w:left="0" w:firstLine="0"/>
      </w:pPr>
      <w:sdt>
        <w:sdtPr>
          <w:rPr>
            <w:bCs/>
            <w:color w:val="0000FF"/>
          </w:rPr>
          <w:id w:val="1199589694"/>
          <w14:checkbox>
            <w14:checked w14:val="1"/>
            <w14:checkedState w14:val="2612" w14:font="MS Gothic"/>
            <w14:uncheckedState w14:val="2610" w14:font="MS Gothic"/>
          </w14:checkbox>
        </w:sdtPr>
        <w:sdtEndPr/>
        <w:sdtContent>
          <w:r w:rsidR="007748C5" w:rsidRPr="0018646B">
            <w:rPr>
              <w:rFonts w:ascii="Segoe UI Symbol" w:eastAsia="MS Gothic" w:hAnsi="Segoe UI Symbol" w:cs="Segoe UI Symbol"/>
              <w:bCs/>
              <w:color w:val="0000FF"/>
            </w:rPr>
            <w:t>☒</w:t>
          </w:r>
        </w:sdtContent>
      </w:sdt>
      <w:r w:rsidR="007573F0" w:rsidRPr="0018646B">
        <w:t xml:space="preserve"> Other systematic review and grading of the body of evidence (</w:t>
      </w:r>
      <w:r w:rsidR="007573F0" w:rsidRPr="0018646B">
        <w:rPr>
          <w:i/>
        </w:rPr>
        <w:t>e.g., Cochrane Collaboration, AHRQ Evidence Practice Center</w:t>
      </w:r>
      <w:r w:rsidR="007573F0" w:rsidRPr="0018646B">
        <w:t xml:space="preserve">) – </w:t>
      </w:r>
      <w:r w:rsidR="007573F0" w:rsidRPr="0018646B">
        <w:rPr>
          <w:b/>
          <w:i/>
        </w:rPr>
        <w:t xml:space="preserve">complete sections </w:t>
      </w:r>
      <w:hyperlink w:anchor="Section1a6" w:history="1">
        <w:r w:rsidR="007573F0" w:rsidRPr="0018646B">
          <w:rPr>
            <w:rStyle w:val="Hyperlink"/>
            <w:b/>
            <w:i/>
          </w:rPr>
          <w:t>1a.6</w:t>
        </w:r>
      </w:hyperlink>
      <w:r w:rsidR="007573F0" w:rsidRPr="0018646B">
        <w:rPr>
          <w:b/>
          <w:i/>
        </w:rPr>
        <w:t xml:space="preserve"> and </w:t>
      </w:r>
      <w:hyperlink w:anchor="Section1a7" w:history="1">
        <w:r w:rsidR="00CF772F" w:rsidRPr="0018646B">
          <w:rPr>
            <w:rStyle w:val="Hyperlink"/>
            <w:b/>
            <w:i/>
          </w:rPr>
          <w:t>1a.7</w:t>
        </w:r>
      </w:hyperlink>
    </w:p>
    <w:p w:rsidR="00FD4D82" w:rsidRPr="0018646B" w:rsidRDefault="008D348D"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5208FB" w:rsidRPr="0018646B">
            <w:rPr>
              <w:rFonts w:ascii="Segoe UI Symbol" w:eastAsia="MS Gothic" w:hAnsi="Segoe UI Symbol" w:cs="Segoe UI Symbol"/>
              <w:bCs/>
              <w:color w:val="0000FF"/>
            </w:rPr>
            <w:t>☐</w:t>
          </w:r>
        </w:sdtContent>
      </w:sdt>
      <w:r w:rsidR="00FD4D82" w:rsidRPr="0018646B">
        <w:t xml:space="preserve"> Other </w:t>
      </w:r>
      <w:r w:rsidR="001B38BF" w:rsidRPr="0018646B">
        <w:t xml:space="preserve">– </w:t>
      </w:r>
      <w:r w:rsidR="00FD4D82" w:rsidRPr="0018646B">
        <w:rPr>
          <w:b/>
          <w:i/>
        </w:rPr>
        <w:t xml:space="preserve">complete section </w:t>
      </w:r>
      <w:hyperlink w:anchor="Section1a8" w:history="1">
        <w:r w:rsidR="00FD4D82" w:rsidRPr="0018646B">
          <w:rPr>
            <w:rStyle w:val="Hyperlink"/>
            <w:b/>
            <w:i/>
          </w:rPr>
          <w:t>1</w:t>
        </w:r>
        <w:r w:rsidR="00773485" w:rsidRPr="0018646B">
          <w:rPr>
            <w:rStyle w:val="Hyperlink"/>
            <w:b/>
            <w:i/>
          </w:rPr>
          <w:t>a</w:t>
        </w:r>
        <w:r w:rsidR="00FD4D82" w:rsidRPr="0018646B">
          <w:rPr>
            <w:rStyle w:val="Hyperlink"/>
            <w:b/>
            <w:i/>
          </w:rPr>
          <w:t>.</w:t>
        </w:r>
        <w:r w:rsidR="00773485" w:rsidRPr="0018646B">
          <w:rPr>
            <w:rStyle w:val="Hyperlink"/>
            <w:b/>
            <w:i/>
          </w:rPr>
          <w:t>8</w:t>
        </w:r>
      </w:hyperlink>
    </w:p>
    <w:p w:rsidR="00FD4D82" w:rsidRPr="0018646B" w:rsidRDefault="00FD4D82" w:rsidP="002E2177">
      <w:pPr>
        <w:ind w:left="0" w:firstLine="0"/>
      </w:pPr>
    </w:p>
    <w:p w:rsidR="00201FF9" w:rsidRPr="0018646B" w:rsidRDefault="00201FF9" w:rsidP="002E2177">
      <w:pPr>
        <w:ind w:left="0" w:firstLine="0"/>
        <w:rPr>
          <w:i/>
        </w:rPr>
      </w:pPr>
      <w:r w:rsidRPr="0018646B">
        <w:rPr>
          <w:i/>
          <w:highlight w:val="green"/>
        </w:rPr>
        <w:t xml:space="preserve">Please complete the sections indicated </w:t>
      </w:r>
      <w:r w:rsidR="00030F43" w:rsidRPr="0018646B">
        <w:rPr>
          <w:i/>
          <w:highlight w:val="green"/>
        </w:rPr>
        <w:t xml:space="preserve">above </w:t>
      </w:r>
      <w:r w:rsidRPr="0018646B">
        <w:rPr>
          <w:i/>
          <w:highlight w:val="green"/>
        </w:rPr>
        <w:t xml:space="preserve">for the source of evidence. You may skip the </w:t>
      </w:r>
      <w:r w:rsidR="00030F43" w:rsidRPr="0018646B">
        <w:rPr>
          <w:i/>
          <w:highlight w:val="green"/>
        </w:rPr>
        <w:t>section</w:t>
      </w:r>
      <w:r w:rsidRPr="0018646B">
        <w:rPr>
          <w:i/>
          <w:highlight w:val="green"/>
        </w:rPr>
        <w:t>s that do not apply.</w:t>
      </w:r>
    </w:p>
    <w:p w:rsidR="00925F11" w:rsidRPr="0018646B" w:rsidRDefault="00925F11" w:rsidP="002E2177">
      <w:pPr>
        <w:ind w:left="0" w:firstLine="0"/>
        <w:rPr>
          <w:b/>
          <w:iCs/>
          <w:caps/>
        </w:rPr>
      </w:pPr>
      <w:r w:rsidRPr="0018646B">
        <w:rPr>
          <w:b/>
          <w:iCs/>
          <w:caps/>
        </w:rPr>
        <w:t>_________________________</w:t>
      </w:r>
      <w:bookmarkStart w:id="6" w:name="Section1a4"/>
      <w:bookmarkEnd w:id="6"/>
    </w:p>
    <w:p w:rsidR="009B5BEA" w:rsidRPr="0018646B" w:rsidRDefault="00FD4D82" w:rsidP="002E2177">
      <w:pPr>
        <w:ind w:left="0" w:firstLine="0"/>
        <w:rPr>
          <w:b/>
        </w:rPr>
      </w:pPr>
      <w:r w:rsidRPr="0018646B">
        <w:rPr>
          <w:b/>
          <w:color w:val="0000FF"/>
        </w:rPr>
        <w:t>1</w:t>
      </w:r>
      <w:r w:rsidR="00773485" w:rsidRPr="0018646B">
        <w:rPr>
          <w:b/>
          <w:color w:val="0000FF"/>
        </w:rPr>
        <w:t>a</w:t>
      </w:r>
      <w:r w:rsidRPr="0018646B">
        <w:rPr>
          <w:b/>
          <w:color w:val="0000FF"/>
        </w:rPr>
        <w:t>.4</w:t>
      </w:r>
      <w:r w:rsidR="00201FF9" w:rsidRPr="0018646B">
        <w:rPr>
          <w:b/>
          <w:color w:val="0000FF"/>
        </w:rPr>
        <w:t>.</w:t>
      </w:r>
      <w:r w:rsidRPr="0018646B">
        <w:rPr>
          <w:b/>
          <w:color w:val="0070C0"/>
        </w:rPr>
        <w:t xml:space="preserve"> </w:t>
      </w:r>
      <w:r w:rsidR="0055559D" w:rsidRPr="0018646B">
        <w:rPr>
          <w:b/>
        </w:rPr>
        <w:t>CLINICAL PRACTICE GUIDELINE</w:t>
      </w:r>
      <w:r w:rsidR="00E746A2" w:rsidRPr="0018646B">
        <w:rPr>
          <w:b/>
        </w:rPr>
        <w:t xml:space="preserve"> RECOMMENDATION</w:t>
      </w:r>
    </w:p>
    <w:p w:rsidR="007E37A5" w:rsidRPr="0018646B" w:rsidRDefault="008B51D9" w:rsidP="002E2177">
      <w:pPr>
        <w:ind w:left="0" w:firstLine="0"/>
      </w:pPr>
      <w:r w:rsidRPr="0018646B">
        <w:rPr>
          <w:b/>
          <w:color w:val="0000FF"/>
        </w:rPr>
        <w:t>1</w:t>
      </w:r>
      <w:r w:rsidR="00773485" w:rsidRPr="0018646B">
        <w:rPr>
          <w:b/>
          <w:color w:val="0000FF"/>
        </w:rPr>
        <w:t>a</w:t>
      </w:r>
      <w:r w:rsidRPr="0018646B">
        <w:rPr>
          <w:b/>
          <w:color w:val="0000FF"/>
        </w:rPr>
        <w:t>.</w:t>
      </w:r>
      <w:r w:rsidR="00B058A6" w:rsidRPr="0018646B">
        <w:rPr>
          <w:b/>
          <w:color w:val="0000FF"/>
        </w:rPr>
        <w:t>4</w:t>
      </w:r>
      <w:r w:rsidRPr="0018646B">
        <w:rPr>
          <w:b/>
          <w:color w:val="0000FF"/>
        </w:rPr>
        <w:t>.1.</w:t>
      </w:r>
      <w:r w:rsidRPr="0018646B">
        <w:t xml:space="preserve"> </w:t>
      </w:r>
      <w:r w:rsidR="00496AF8" w:rsidRPr="0018646B">
        <w:rPr>
          <w:b/>
        </w:rPr>
        <w:t>Guideline citation</w:t>
      </w:r>
      <w:r w:rsidR="002F20A7" w:rsidRPr="0018646B">
        <w:t xml:space="preserve"> </w:t>
      </w:r>
      <w:r w:rsidR="006709EB" w:rsidRPr="0018646B">
        <w:t>(</w:t>
      </w:r>
      <w:r w:rsidR="006709EB" w:rsidRPr="0018646B">
        <w:rPr>
          <w:i/>
        </w:rPr>
        <w:t>including date</w:t>
      </w:r>
      <w:r w:rsidR="006709EB" w:rsidRPr="0018646B">
        <w:t>)</w:t>
      </w:r>
      <w:r w:rsidR="00265702" w:rsidRPr="0018646B">
        <w:t xml:space="preserve"> and </w:t>
      </w:r>
      <w:r w:rsidR="00265702" w:rsidRPr="0018646B">
        <w:rPr>
          <w:b/>
        </w:rPr>
        <w:t>URL for guideline</w:t>
      </w:r>
      <w:r w:rsidR="00265702" w:rsidRPr="0018646B">
        <w:t xml:space="preserve"> (</w:t>
      </w:r>
      <w:r w:rsidR="00265702" w:rsidRPr="0018646B">
        <w:rPr>
          <w:i/>
        </w:rPr>
        <w:t>if available online</w:t>
      </w:r>
      <w:r w:rsidR="00265702" w:rsidRPr="0018646B">
        <w:t>):</w:t>
      </w:r>
    </w:p>
    <w:p w:rsidR="0077510D" w:rsidRPr="0018646B" w:rsidRDefault="0077510D" w:rsidP="002E2177">
      <w:pPr>
        <w:ind w:left="0" w:firstLine="0"/>
        <w:rPr>
          <w:rFonts w:cs="Arial"/>
        </w:rPr>
      </w:pPr>
      <w:r w:rsidRPr="0018646B">
        <w:rPr>
          <w:rFonts w:cs="Arial"/>
        </w:rPr>
        <w:t xml:space="preserve">Department of Health and Human Services. “Panel on Antiretroviral Guidelines for Adults and Adolescents. Guidelines for the use of antiretroviral agents in HIV-1-infected adults and adolescents.” (2016). URL: </w:t>
      </w:r>
      <w:hyperlink r:id="rId19" w:history="1">
        <w:r w:rsidRPr="0018646B">
          <w:rPr>
            <w:rStyle w:val="Hyperlink"/>
            <w:rFonts w:cs="Arial"/>
          </w:rPr>
          <w:t>http://aidsinfo.nih.gov/contentfiles/lvguidelines/AdultandAdolescentGL.pdf</w:t>
        </w:r>
      </w:hyperlink>
    </w:p>
    <w:p w:rsidR="0077510D" w:rsidRPr="0018646B" w:rsidRDefault="0077510D" w:rsidP="002E2177">
      <w:pPr>
        <w:ind w:left="0" w:firstLine="0"/>
        <w:rPr>
          <w:rFonts w:cs="Arial"/>
        </w:rPr>
      </w:pPr>
    </w:p>
    <w:p w:rsidR="00D53405" w:rsidRPr="0018646B" w:rsidRDefault="0077510D" w:rsidP="002E2177">
      <w:pPr>
        <w:ind w:left="0" w:firstLine="0"/>
        <w:rPr>
          <w:rFonts w:cs="Arial"/>
        </w:rPr>
      </w:pPr>
      <w:r w:rsidRPr="0018646B">
        <w:rPr>
          <w:rFonts w:cs="Arial"/>
        </w:rPr>
        <w:t>World Health Organization. "Consolidated guidelines on the use of antiretroviral drugs for treating and preventing HIV infection: recommendations for a public health approach." (2016).</w:t>
      </w:r>
      <w:r w:rsidR="00F36BAC" w:rsidRPr="0018646B">
        <w:rPr>
          <w:rFonts w:cs="Arial"/>
        </w:rPr>
        <w:t xml:space="preserve"> </w:t>
      </w:r>
      <w:r w:rsidRPr="0018646B">
        <w:rPr>
          <w:rFonts w:cs="Arial"/>
        </w:rPr>
        <w:t xml:space="preserve">URL: </w:t>
      </w:r>
      <w:hyperlink r:id="rId20" w:history="1">
        <w:r w:rsidRPr="0018646B">
          <w:rPr>
            <w:rStyle w:val="Hyperlink"/>
            <w:rFonts w:cs="Arial"/>
          </w:rPr>
          <w:t>http://www.who.int/entity/hiv/pub/arv/arv-2016/en/index.html</w:t>
        </w:r>
      </w:hyperlink>
    </w:p>
    <w:p w:rsidR="0077510D" w:rsidRPr="0018646B" w:rsidRDefault="0077510D" w:rsidP="002E2177">
      <w:pPr>
        <w:ind w:left="0" w:firstLine="0"/>
        <w:rPr>
          <w:rFonts w:cs="Arial"/>
        </w:rPr>
      </w:pPr>
    </w:p>
    <w:p w:rsidR="00D14F0B" w:rsidRPr="0018646B" w:rsidRDefault="008B51D9" w:rsidP="002E2177">
      <w:pPr>
        <w:ind w:left="0" w:firstLine="0"/>
      </w:pPr>
      <w:r w:rsidRPr="0018646B">
        <w:rPr>
          <w:b/>
          <w:color w:val="0000FF"/>
        </w:rPr>
        <w:t>1</w:t>
      </w:r>
      <w:r w:rsidR="00773485" w:rsidRPr="0018646B">
        <w:rPr>
          <w:b/>
          <w:color w:val="0000FF"/>
        </w:rPr>
        <w:t>a</w:t>
      </w:r>
      <w:r w:rsidRPr="0018646B">
        <w:rPr>
          <w:b/>
          <w:color w:val="0000FF"/>
        </w:rPr>
        <w:t>.</w:t>
      </w:r>
      <w:r w:rsidR="00B058A6" w:rsidRPr="0018646B">
        <w:rPr>
          <w:b/>
          <w:color w:val="0000FF"/>
        </w:rPr>
        <w:t>4</w:t>
      </w:r>
      <w:r w:rsidR="00265702" w:rsidRPr="0018646B">
        <w:rPr>
          <w:b/>
          <w:color w:val="0000FF"/>
        </w:rPr>
        <w:t>.2</w:t>
      </w:r>
      <w:r w:rsidRPr="0018646B">
        <w:rPr>
          <w:b/>
          <w:color w:val="0000FF"/>
        </w:rPr>
        <w:t>.</w:t>
      </w:r>
      <w:r w:rsidRPr="0018646B">
        <w:t xml:space="preserve"> </w:t>
      </w:r>
      <w:r w:rsidR="00496AF8" w:rsidRPr="0018646B">
        <w:rPr>
          <w:b/>
        </w:rPr>
        <w:t>Identify</w:t>
      </w:r>
      <w:r w:rsidR="00A44FF0" w:rsidRPr="0018646B">
        <w:rPr>
          <w:b/>
        </w:rPr>
        <w:t xml:space="preserve"> </w:t>
      </w:r>
      <w:r w:rsidR="00C54E40" w:rsidRPr="0018646B">
        <w:rPr>
          <w:b/>
        </w:rPr>
        <w:t>g</w:t>
      </w:r>
      <w:r w:rsidR="00496AF8" w:rsidRPr="0018646B">
        <w:rPr>
          <w:b/>
        </w:rPr>
        <w:t xml:space="preserve">uideline </w:t>
      </w:r>
      <w:r w:rsidR="00E746A2" w:rsidRPr="0018646B">
        <w:rPr>
          <w:b/>
        </w:rPr>
        <w:t xml:space="preserve">recommendation </w:t>
      </w:r>
      <w:r w:rsidR="00496AF8" w:rsidRPr="0018646B">
        <w:rPr>
          <w:b/>
        </w:rPr>
        <w:t>number and/or page number</w:t>
      </w:r>
      <w:r w:rsidR="00265702" w:rsidRPr="0018646B">
        <w:t xml:space="preserve"> and </w:t>
      </w:r>
      <w:r w:rsidR="00C54E40" w:rsidRPr="0018646B">
        <w:rPr>
          <w:b/>
        </w:rPr>
        <w:t>q</w:t>
      </w:r>
      <w:r w:rsidR="00265702" w:rsidRPr="0018646B">
        <w:rPr>
          <w:b/>
        </w:rPr>
        <w:t>uote verbatim, the specific guideline recommendation</w:t>
      </w:r>
      <w:r w:rsidR="00FC32D3" w:rsidRPr="0018646B">
        <w:t>.</w:t>
      </w:r>
    </w:p>
    <w:p w:rsidR="001558E5" w:rsidRPr="0018646B" w:rsidRDefault="001558E5" w:rsidP="00BE3F4B">
      <w:pPr>
        <w:autoSpaceDE w:val="0"/>
        <w:autoSpaceDN w:val="0"/>
        <w:adjustRightInd w:val="0"/>
        <w:ind w:left="0" w:firstLine="0"/>
        <w:rPr>
          <w:rFonts w:cs="Helvetica-Condensed-Bold"/>
          <w:b/>
          <w:bCs/>
          <w:highlight w:val="yellow"/>
        </w:rPr>
      </w:pPr>
    </w:p>
    <w:p w:rsidR="00F355A8" w:rsidRPr="0018646B" w:rsidRDefault="00F355A8" w:rsidP="00BE3F4B">
      <w:pPr>
        <w:autoSpaceDE w:val="0"/>
        <w:autoSpaceDN w:val="0"/>
        <w:adjustRightInd w:val="0"/>
        <w:ind w:left="0" w:firstLine="0"/>
        <w:rPr>
          <w:rFonts w:cs="Helvetica-Condensed-Bold"/>
          <w:bCs/>
        </w:rPr>
      </w:pPr>
      <w:r w:rsidRPr="0018646B">
        <w:rPr>
          <w:rFonts w:cs="Helvetica-Condensed-Bold"/>
          <w:bCs/>
        </w:rPr>
        <w:t>For each of the two guidelines cited and quoted below, we have included TWO main “types” of recommendations: specifically, those that pertain to initiating ART and those that related to monitoring viral load among PLWH who are in the provider’s care (whether they are on ART or not).  The first “type” or “group” of recommendations—relating to ART initiation—is included because ART is a critical prerequisite for achieving viral load suppression</w:t>
      </w:r>
      <w:r w:rsidR="00543475" w:rsidRPr="0018646B">
        <w:rPr>
          <w:rFonts w:cs="Helvetica-Condensed-Bold"/>
          <w:bCs/>
        </w:rPr>
        <w:t xml:space="preserve"> (VLS)</w:t>
      </w:r>
      <w:r w:rsidRPr="0018646B">
        <w:rPr>
          <w:rFonts w:cs="Helvetica-Condensed-Bold"/>
          <w:bCs/>
        </w:rPr>
        <w:t xml:space="preserve"> among the vast majority of PLWH. The second “type” or “group” of recommendations—those relating to routine viral load</w:t>
      </w:r>
      <w:r w:rsidR="00543475" w:rsidRPr="0018646B">
        <w:rPr>
          <w:rFonts w:cs="Helvetica-Condensed-Bold"/>
          <w:bCs/>
        </w:rPr>
        <w:t xml:space="preserve"> (VL)</w:t>
      </w:r>
      <w:r w:rsidRPr="0018646B">
        <w:rPr>
          <w:rFonts w:cs="Helvetica-Condensed-Bold"/>
          <w:bCs/>
        </w:rPr>
        <w:t xml:space="preserve"> monitoring—are included because </w:t>
      </w:r>
      <w:r w:rsidR="00543475" w:rsidRPr="0018646B">
        <w:rPr>
          <w:rFonts w:cs="Helvetica-Condensed-Bold"/>
          <w:bCs/>
        </w:rPr>
        <w:t>timely performance of VL tests, and subsequent reporting of those test results to public health departments, is necessary to generate the proposed VLS measure.</w:t>
      </w:r>
    </w:p>
    <w:p w:rsidR="00F355A8" w:rsidRPr="0018646B" w:rsidRDefault="00F355A8" w:rsidP="00BE3F4B">
      <w:pPr>
        <w:autoSpaceDE w:val="0"/>
        <w:autoSpaceDN w:val="0"/>
        <w:adjustRightInd w:val="0"/>
        <w:ind w:left="0" w:firstLine="0"/>
        <w:rPr>
          <w:rFonts w:cs="Helvetica-Condensed-Bold"/>
          <w:b/>
          <w:bCs/>
          <w:highlight w:val="yellow"/>
        </w:rPr>
      </w:pPr>
    </w:p>
    <w:p w:rsidR="001558E5" w:rsidRPr="00885241" w:rsidRDefault="001558E5" w:rsidP="00885241">
      <w:pPr>
        <w:shd w:val="clear" w:color="auto" w:fill="FFFFFF"/>
        <w:spacing w:after="225" w:line="300" w:lineRule="atLeast"/>
        <w:ind w:left="0" w:firstLine="0"/>
        <w:rPr>
          <w:rFonts w:eastAsia="Times New Roman" w:cs="Lucida Sans Unicode"/>
          <w:b/>
          <w:color w:val="333333"/>
        </w:rPr>
      </w:pPr>
      <w:r w:rsidRPr="0018646B">
        <w:rPr>
          <w:rFonts w:cs="Helvetica-Condensed-Bold"/>
          <w:b/>
          <w:bCs/>
          <w:highlight w:val="yellow"/>
        </w:rPr>
        <w:t>Guideline 1</w:t>
      </w:r>
      <w:r w:rsidR="00885241">
        <w:rPr>
          <w:rFonts w:cs="Helvetica-Condensed-Bold"/>
          <w:b/>
          <w:bCs/>
        </w:rPr>
        <w:t>—</w:t>
      </w:r>
      <w:r w:rsidR="00795DDD" w:rsidRPr="0018646B">
        <w:rPr>
          <w:rFonts w:cs="Helvetica-Condensed-Bold"/>
          <w:b/>
          <w:bCs/>
        </w:rPr>
        <w:t>DHHS</w:t>
      </w:r>
      <w:r w:rsidR="00885241">
        <w:rPr>
          <w:rFonts w:cs="Helvetica-Condensed-Bold"/>
          <w:b/>
          <w:bCs/>
        </w:rPr>
        <w:t xml:space="preserve"> </w:t>
      </w:r>
      <w:r w:rsidR="00885241">
        <w:rPr>
          <w:rStyle w:val="Hyperlink"/>
        </w:rPr>
        <w:t>(p. E-1 through E-8)</w:t>
      </w:r>
      <w:r w:rsidR="00F37775" w:rsidRPr="0018646B">
        <w:rPr>
          <w:rFonts w:cs="Helvetica-Condensed-Bold"/>
          <w:b/>
          <w:bCs/>
        </w:rPr>
        <w:t>:</w:t>
      </w:r>
    </w:p>
    <w:p w:rsidR="0024431B" w:rsidRPr="0044672A" w:rsidRDefault="0024431B" w:rsidP="0024431B">
      <w:pPr>
        <w:shd w:val="clear" w:color="auto" w:fill="FFFFFF"/>
        <w:spacing w:after="225" w:line="300" w:lineRule="atLeast"/>
        <w:ind w:left="0" w:firstLine="0"/>
        <w:rPr>
          <w:rFonts w:eastAsia="Times New Roman" w:cs="Lucida Sans Unicode"/>
          <w:b/>
          <w:color w:val="333333"/>
          <w:u w:val="single"/>
        </w:rPr>
      </w:pPr>
      <w:r>
        <w:rPr>
          <w:rFonts w:eastAsia="Times New Roman" w:cs="Lucida Sans Unicode"/>
          <w:b/>
          <w:color w:val="333333"/>
          <w:u w:val="single"/>
        </w:rPr>
        <w:t xml:space="preserve">***NOTE: </w:t>
      </w:r>
      <w:r w:rsidRPr="008579B1">
        <w:rPr>
          <w:rFonts w:eastAsia="Times New Roman" w:cs="Lucida Sans Unicode"/>
          <w:b/>
          <w:color w:val="333333"/>
          <w:u w:val="single"/>
        </w:rPr>
        <w:t xml:space="preserve">The primary goal of the </w:t>
      </w:r>
      <w:r>
        <w:rPr>
          <w:rFonts w:eastAsia="Times New Roman" w:cs="Lucida Sans Unicode"/>
          <w:b/>
          <w:color w:val="333333"/>
          <w:u w:val="single"/>
        </w:rPr>
        <w:t xml:space="preserve">HHS </w:t>
      </w:r>
      <w:r w:rsidRPr="008579B1">
        <w:rPr>
          <w:rFonts w:eastAsia="Times New Roman" w:cs="Lucida Sans Unicode"/>
          <w:b/>
          <w:color w:val="333333"/>
          <w:u w:val="single"/>
        </w:rPr>
        <w:t>Panel is to provide HIV care practitioners with r</w:t>
      </w:r>
      <w:r>
        <w:rPr>
          <w:rFonts w:eastAsia="Times New Roman" w:cs="Lucida Sans Unicode"/>
          <w:b/>
          <w:color w:val="333333"/>
          <w:u w:val="single"/>
        </w:rPr>
        <w:t xml:space="preserve">ecommendations based on current </w:t>
      </w:r>
      <w:r w:rsidRPr="008579B1">
        <w:rPr>
          <w:rFonts w:eastAsia="Times New Roman" w:cs="Lucida Sans Unicode"/>
          <w:b/>
          <w:color w:val="333333"/>
          <w:u w:val="single"/>
        </w:rPr>
        <w:t>knowledge of antiretroviral drugs (ARV) used to treat adults and adoles</w:t>
      </w:r>
      <w:r>
        <w:rPr>
          <w:rFonts w:eastAsia="Times New Roman" w:cs="Lucida Sans Unicode"/>
          <w:b/>
          <w:color w:val="333333"/>
          <w:u w:val="single"/>
        </w:rPr>
        <w:t xml:space="preserve">cents with HIV infection in the </w:t>
      </w:r>
      <w:r w:rsidRPr="008579B1">
        <w:rPr>
          <w:rFonts w:eastAsia="Times New Roman" w:cs="Lucida Sans Unicode"/>
          <w:b/>
          <w:color w:val="333333"/>
          <w:u w:val="single"/>
        </w:rPr>
        <w:t>United States.</w:t>
      </w:r>
      <w:r>
        <w:rPr>
          <w:rFonts w:eastAsia="Times New Roman" w:cs="Lucida Sans Unicode"/>
          <w:b/>
          <w:color w:val="333333"/>
          <w:u w:val="single"/>
        </w:rPr>
        <w:t xml:space="preserve">  However, it is important to note that the DHHS guidelines are in line with those published by the World Health Organization (WHO).  In particular, the WHO, too, now recommends that “</w:t>
      </w:r>
      <w:r w:rsidRPr="0044672A">
        <w:rPr>
          <w:rFonts w:eastAsia="Times New Roman" w:cs="Lucida Sans Unicode"/>
          <w:b/>
          <w:color w:val="333333"/>
          <w:u w:val="single"/>
        </w:rPr>
        <w:t>ART should be initiated</w:t>
      </w:r>
      <w:r>
        <w:rPr>
          <w:rFonts w:eastAsia="Times New Roman" w:cs="Lucida Sans Unicode"/>
          <w:b/>
          <w:color w:val="333333"/>
          <w:u w:val="single"/>
        </w:rPr>
        <w:t xml:space="preserve"> in all adults living with HIV, </w:t>
      </w:r>
      <w:r w:rsidRPr="0044672A">
        <w:rPr>
          <w:rFonts w:eastAsia="Times New Roman" w:cs="Lucida Sans Unicode"/>
          <w:b/>
          <w:color w:val="333333"/>
          <w:u w:val="single"/>
        </w:rPr>
        <w:t>regardless of WHO clinical stage and at any CD4 cell count</w:t>
      </w:r>
      <w:r>
        <w:rPr>
          <w:rFonts w:eastAsia="Times New Roman" w:cs="Lucida Sans Unicode"/>
          <w:b/>
          <w:color w:val="333333"/>
          <w:u w:val="single"/>
        </w:rPr>
        <w:t xml:space="preserve">” (see </w:t>
      </w:r>
      <w:hyperlink r:id="rId21" w:history="1">
        <w:r w:rsidRPr="00772DC4">
          <w:rPr>
            <w:rStyle w:val="Hyperlink"/>
            <w:rFonts w:eastAsia="Times New Roman" w:cs="Lucida Sans Unicode"/>
            <w:b/>
          </w:rPr>
          <w:t>http://www.who.int/hiv/pub/arv/arv-2016/en/</w:t>
        </w:r>
      </w:hyperlink>
      <w:r>
        <w:rPr>
          <w:rFonts w:eastAsia="Times New Roman" w:cs="Lucida Sans Unicode"/>
          <w:b/>
          <w:color w:val="333333"/>
          <w:u w:val="single"/>
        </w:rPr>
        <w:t xml:space="preserve">) </w:t>
      </w:r>
    </w:p>
    <w:p w:rsidR="0024431B" w:rsidRPr="0018646B" w:rsidRDefault="0024431B" w:rsidP="00BE3F4B">
      <w:pPr>
        <w:autoSpaceDE w:val="0"/>
        <w:autoSpaceDN w:val="0"/>
        <w:adjustRightInd w:val="0"/>
        <w:ind w:left="0" w:firstLine="0"/>
        <w:rPr>
          <w:rFonts w:cs="Helvetica-Condensed-Bold"/>
          <w:b/>
          <w:bCs/>
        </w:rPr>
      </w:pPr>
    </w:p>
    <w:p w:rsidR="00714934" w:rsidRPr="0018646B" w:rsidRDefault="00F355A8" w:rsidP="00885241">
      <w:pPr>
        <w:shd w:val="clear" w:color="auto" w:fill="FFFFFF"/>
        <w:spacing w:after="225" w:line="300" w:lineRule="atLeast"/>
        <w:ind w:left="0" w:firstLine="0"/>
      </w:pPr>
      <w:hyperlink r:id="rId22" w:history="1">
        <w:r w:rsidR="00714934" w:rsidRPr="0018646B">
          <w:rPr>
            <w:rStyle w:val="Hyperlink"/>
          </w:rPr>
          <w:t>Panel's Recommendations for Initiating Antiretroviral Therapy in Treatment-Naive Patients</w:t>
        </w:r>
      </w:hyperlink>
      <w:r w:rsidR="008A4378">
        <w:rPr>
          <w:rStyle w:val="Hyperlink"/>
        </w:rPr>
        <w:t xml:space="preserve"> </w:t>
      </w:r>
      <w:r w:rsidR="00714934" w:rsidRPr="0018646B">
        <w:t>Antiretroviral therapy (ART) is recommended for all HIV-infected individuals, regardless of CD4 T lymphocyte cell count, to reduce the morbidity and mortality associated with HIV infection (AI).</w:t>
      </w:r>
    </w:p>
    <w:p w:rsidR="00714934" w:rsidRPr="0018646B" w:rsidRDefault="008D348D" w:rsidP="00BE697C">
      <w:pPr>
        <w:shd w:val="clear" w:color="auto" w:fill="FFFFFF"/>
        <w:spacing w:after="225" w:line="300" w:lineRule="atLeast"/>
        <w:ind w:left="0" w:firstLine="0"/>
        <w:rPr>
          <w:rFonts w:eastAsia="Times New Roman" w:cs="Lucida Sans Unicode"/>
          <w:color w:val="333333"/>
        </w:rPr>
      </w:pPr>
      <w:hyperlink r:id="rId23" w:history="1">
        <w:r w:rsidR="00714934" w:rsidRPr="0018646B">
          <w:rPr>
            <w:rStyle w:val="Hyperlink"/>
          </w:rPr>
          <w:t>Panel's Recommendations for Acute and Recent (Early) HIV Infection</w:t>
        </w:r>
      </w:hyperlink>
      <w:r w:rsidR="00714934" w:rsidRPr="0018646B">
        <w:rPr>
          <w:rFonts w:eastAsia="Times New Roman" w:cs="Lucida Sans Unicode"/>
          <w:color w:val="333333"/>
        </w:rPr>
        <w:t xml:space="preserve"> </w:t>
      </w:r>
    </w:p>
    <w:p w:rsidR="00714934" w:rsidRPr="0018646B" w:rsidRDefault="00714934" w:rsidP="00F37775">
      <w:pPr>
        <w:pStyle w:val="NoSpacing"/>
        <w:numPr>
          <w:ilvl w:val="0"/>
          <w:numId w:val="18"/>
        </w:numPr>
        <w:rPr>
          <w:rFonts w:eastAsia="Times New Roman" w:cs="Lucida Sans Unicode"/>
          <w:color w:val="333333"/>
        </w:rPr>
      </w:pPr>
      <w:r w:rsidRPr="0018646B">
        <w:rPr>
          <w:rFonts w:eastAsia="Times New Roman" w:cs="Lucida Sans Unicode"/>
          <w:color w:val="333333"/>
        </w:rPr>
        <w:t xml:space="preserve">Antiretroviral therapy (ART) is recommended for all individuals with HIV-1 infection </w:t>
      </w:r>
      <w:r w:rsidRPr="0018646B">
        <w:rPr>
          <w:rFonts w:eastAsia="Times New Roman" w:cs="Lucida Sans Unicode"/>
          <w:b/>
          <w:bCs/>
          <w:color w:val="333333"/>
        </w:rPr>
        <w:t>(AI)</w:t>
      </w:r>
      <w:r w:rsidRPr="0018646B">
        <w:rPr>
          <w:rFonts w:eastAsia="Times New Roman" w:cs="Lucida Sans Unicode"/>
          <w:color w:val="333333"/>
        </w:rPr>
        <w:t xml:space="preserve"> including those with early</w:t>
      </w:r>
      <w:r w:rsidRPr="0018646B">
        <w:rPr>
          <w:rFonts w:eastAsia="Times New Roman" w:cs="Lucida Sans Unicode"/>
          <w:color w:val="333333"/>
          <w:vertAlign w:val="superscript"/>
        </w:rPr>
        <w:t>a</w:t>
      </w:r>
      <w:r w:rsidRPr="0018646B">
        <w:rPr>
          <w:rFonts w:eastAsia="Times New Roman" w:cs="Lucida Sans Unicode"/>
          <w:color w:val="333333"/>
        </w:rPr>
        <w:t xml:space="preserve"> HIV-1 infection. </w:t>
      </w:r>
    </w:p>
    <w:p w:rsidR="00714934" w:rsidRPr="0018646B" w:rsidRDefault="00714934" w:rsidP="00F37775">
      <w:pPr>
        <w:pStyle w:val="NoSpacing"/>
        <w:numPr>
          <w:ilvl w:val="0"/>
          <w:numId w:val="18"/>
        </w:numPr>
        <w:rPr>
          <w:b/>
        </w:rPr>
      </w:pPr>
      <w:r w:rsidRPr="0018646B">
        <w:rPr>
          <w:rFonts w:eastAsia="Times New Roman" w:cs="Lucida Sans Unicode"/>
          <w:color w:val="333333"/>
        </w:rPr>
        <w:t xml:space="preserve">Once initiated, the goal of ART is to suppress plasma HIV-1 RNA to undetectable levels </w:t>
      </w:r>
      <w:r w:rsidRPr="0018646B">
        <w:rPr>
          <w:rFonts w:eastAsia="Times New Roman" w:cs="Lucida Sans Unicode"/>
          <w:b/>
          <w:bCs/>
          <w:color w:val="333333"/>
        </w:rPr>
        <w:t>(AIII)</w:t>
      </w:r>
      <w:r w:rsidRPr="0018646B">
        <w:rPr>
          <w:rFonts w:eastAsia="Times New Roman" w:cs="Lucida Sans Unicode"/>
          <w:color w:val="333333"/>
        </w:rPr>
        <w:t xml:space="preserve">. Testing for plasma HIV-1 RNA levels, CD4 T lymphocyte counts, and toxicity monitoring should be performed as recommended for patients with chronic HIV-1 infection </w:t>
      </w:r>
      <w:r w:rsidRPr="0018646B">
        <w:rPr>
          <w:rFonts w:eastAsia="Times New Roman" w:cs="Lucida Sans Unicode"/>
          <w:b/>
          <w:bCs/>
          <w:color w:val="333333"/>
        </w:rPr>
        <w:t>(AII)</w:t>
      </w:r>
      <w:r w:rsidRPr="0018646B">
        <w:rPr>
          <w:rFonts w:eastAsia="Times New Roman" w:cs="Lucida Sans Unicode"/>
          <w:color w:val="333333"/>
        </w:rPr>
        <w:t>.</w:t>
      </w:r>
    </w:p>
    <w:p w:rsidR="00714934" w:rsidRPr="0018646B" w:rsidRDefault="00714934" w:rsidP="00F37775">
      <w:pPr>
        <w:pStyle w:val="NoSpacing"/>
        <w:rPr>
          <w:b/>
        </w:rPr>
      </w:pPr>
    </w:p>
    <w:p w:rsidR="005208FB" w:rsidRPr="0018646B" w:rsidRDefault="008D348D" w:rsidP="00F37775">
      <w:pPr>
        <w:pStyle w:val="NoSpacing"/>
      </w:pPr>
      <w:hyperlink r:id="rId24" w:history="1">
        <w:r w:rsidR="005208FB" w:rsidRPr="0018646B">
          <w:rPr>
            <w:rStyle w:val="Hyperlink"/>
          </w:rPr>
          <w:t>Panel's Recommendations Regarding Virologic Failure of the Treatment-Experienced Patient</w:t>
        </w:r>
      </w:hyperlink>
    </w:p>
    <w:p w:rsidR="005208FB" w:rsidRPr="0018646B" w:rsidRDefault="005208FB" w:rsidP="00F37775">
      <w:pPr>
        <w:pStyle w:val="NoSpacing"/>
        <w:numPr>
          <w:ilvl w:val="0"/>
          <w:numId w:val="20"/>
        </w:numPr>
      </w:pPr>
      <w:r w:rsidRPr="0018646B">
        <w:t xml:space="preserve">The goal of treatment for ART-experienced patients with drug resistance who are experiencing virologic failure is to establish virologic suppression (i.e., HIV RNA below the lower limits of detection of currently used assays) </w:t>
      </w:r>
      <w:r w:rsidRPr="0018646B">
        <w:rPr>
          <w:b/>
          <w:bCs/>
        </w:rPr>
        <w:t>(AI)</w:t>
      </w:r>
      <w:r w:rsidRPr="0018646B">
        <w:t>.</w:t>
      </w:r>
    </w:p>
    <w:p w:rsidR="005208FB" w:rsidRPr="0018646B" w:rsidRDefault="005208FB" w:rsidP="00F37775">
      <w:pPr>
        <w:pStyle w:val="NoSpacing"/>
        <w:numPr>
          <w:ilvl w:val="0"/>
          <w:numId w:val="20"/>
        </w:numPr>
      </w:pPr>
      <w:r w:rsidRPr="0018646B">
        <w:t xml:space="preserve">Discontinuing or briefly interrupting therapy may lead to a rapid increase in HIV RNA and a decrease in CD4 cell count and increases the risk of clinical progression. Therefore, this strategy is </w:t>
      </w:r>
      <w:r w:rsidRPr="0018646B">
        <w:rPr>
          <w:b/>
          <w:bCs/>
          <w:u w:val="single"/>
        </w:rPr>
        <w:t>not</w:t>
      </w:r>
      <w:r w:rsidRPr="0018646B">
        <w:rPr>
          <w:b/>
          <w:bCs/>
        </w:rPr>
        <w:t xml:space="preserve"> </w:t>
      </w:r>
      <w:r w:rsidRPr="0018646B">
        <w:t xml:space="preserve">recommended in the setting of virologic failure </w:t>
      </w:r>
      <w:r w:rsidRPr="0018646B">
        <w:rPr>
          <w:b/>
          <w:bCs/>
        </w:rPr>
        <w:t>(AI)</w:t>
      </w:r>
      <w:r w:rsidRPr="0018646B">
        <w:t>.</w:t>
      </w:r>
    </w:p>
    <w:p w:rsidR="00621510" w:rsidRPr="0018646B" w:rsidRDefault="00621510" w:rsidP="00F37775">
      <w:pPr>
        <w:pStyle w:val="NoSpacing"/>
        <w:ind w:firstLine="0"/>
      </w:pPr>
    </w:p>
    <w:p w:rsidR="00621510" w:rsidRPr="0018646B" w:rsidRDefault="008D348D" w:rsidP="00F37775">
      <w:pPr>
        <w:pStyle w:val="NoSpacing"/>
        <w:ind w:left="0" w:firstLine="0"/>
      </w:pPr>
      <w:hyperlink r:id="rId25" w:history="1">
        <w:r w:rsidR="00621510" w:rsidRPr="0018646B">
          <w:rPr>
            <w:rStyle w:val="Hyperlink"/>
          </w:rPr>
          <w:t>Laboratory Testing, Plasma HIV-1 RNA (Viral Load) and CD4 Count Monitoring</w:t>
        </w:r>
      </w:hyperlink>
    </w:p>
    <w:p w:rsidR="007B467C" w:rsidRPr="0018646B" w:rsidRDefault="007B467C" w:rsidP="00F37775">
      <w:pPr>
        <w:pStyle w:val="NoSpacing"/>
        <w:ind w:left="450" w:hanging="450"/>
      </w:pPr>
    </w:p>
    <w:p w:rsidR="007B467C" w:rsidRPr="0018646B" w:rsidRDefault="007B467C" w:rsidP="00F37775">
      <w:pPr>
        <w:pStyle w:val="NoSpacing"/>
        <w:numPr>
          <w:ilvl w:val="0"/>
          <w:numId w:val="30"/>
        </w:numPr>
        <w:ind w:left="360"/>
        <w:rPr>
          <w:rFonts w:cs="ArialNarrow-Bold"/>
          <w:bCs/>
          <w:color w:val="000000"/>
        </w:rPr>
      </w:pPr>
      <w:r w:rsidRPr="0018646B">
        <w:rPr>
          <w:rFonts w:cs="ArialNarrow-Bold"/>
          <w:bCs/>
          <w:color w:val="000000"/>
        </w:rPr>
        <w:t xml:space="preserve">Viral load is the most important indicator of initial and sustained response to ART </w:t>
      </w:r>
      <w:r w:rsidRPr="0018646B">
        <w:rPr>
          <w:rFonts w:cs="ArialNarrow-Bold"/>
          <w:b/>
          <w:bCs/>
          <w:color w:val="000000"/>
        </w:rPr>
        <w:t>(AI)</w:t>
      </w:r>
      <w:r w:rsidRPr="0018646B">
        <w:rPr>
          <w:rFonts w:cs="ArialNarrow-Bold"/>
          <w:bCs/>
          <w:color w:val="000000"/>
        </w:rPr>
        <w:t xml:space="preserve"> and should be measured in all HIV-infected patients at entry into care </w:t>
      </w:r>
      <w:r w:rsidRPr="0018646B">
        <w:rPr>
          <w:rFonts w:cs="ArialNarrow-Bold"/>
          <w:b/>
          <w:bCs/>
          <w:color w:val="000000"/>
        </w:rPr>
        <w:t>(AIII),</w:t>
      </w:r>
      <w:r w:rsidRPr="0018646B">
        <w:rPr>
          <w:rFonts w:cs="ArialNarrow-Bold"/>
          <w:bCs/>
          <w:color w:val="000000"/>
        </w:rPr>
        <w:t xml:space="preserve"> at initiation of therapy </w:t>
      </w:r>
      <w:r w:rsidRPr="0018646B">
        <w:rPr>
          <w:rFonts w:cs="ArialNarrow-Bold"/>
          <w:b/>
          <w:bCs/>
          <w:color w:val="000000"/>
        </w:rPr>
        <w:t>(AIII),</w:t>
      </w:r>
      <w:r w:rsidRPr="0018646B">
        <w:rPr>
          <w:rFonts w:cs="ArialNarrow-Bold"/>
          <w:bCs/>
          <w:color w:val="000000"/>
        </w:rPr>
        <w:t xml:space="preserve"> and on a regular basis thereafter. For those patients who choose to delay therapy, repeat viral load testing while not on ART is optional </w:t>
      </w:r>
      <w:r w:rsidRPr="0018646B">
        <w:rPr>
          <w:rFonts w:cs="ArialNarrow-Bold"/>
          <w:b/>
          <w:bCs/>
          <w:color w:val="000000"/>
        </w:rPr>
        <w:t>(CIII).</w:t>
      </w:r>
    </w:p>
    <w:p w:rsidR="007B467C" w:rsidRPr="0018646B" w:rsidRDefault="007B467C" w:rsidP="00F37775">
      <w:pPr>
        <w:pStyle w:val="NoSpacing"/>
        <w:numPr>
          <w:ilvl w:val="0"/>
          <w:numId w:val="30"/>
        </w:numPr>
        <w:ind w:left="360"/>
      </w:pPr>
      <w:r w:rsidRPr="0018646B">
        <w:t xml:space="preserve">Plasma viral load should be measured before initiation of ART and within 2 to 4 weeks but no later than 8 weeks after treatment initiation or modification </w:t>
      </w:r>
      <w:r w:rsidRPr="0018646B">
        <w:rPr>
          <w:b/>
          <w:bCs/>
        </w:rPr>
        <w:t>(AIII)</w:t>
      </w:r>
      <w:r w:rsidRPr="0018646B">
        <w:rPr>
          <w:b/>
        </w:rPr>
        <w:t>.</w:t>
      </w:r>
      <w:r w:rsidRPr="0018646B">
        <w:t xml:space="preserve"> The purpose of the measurements is to confirm an adequate initial virologic response to ART, indicating appropriate regimen selection and patient adherence to therapy. Repeat viral load measurement should be performed at 4- to 8-week intervals until the level falls below the assay’s limit of detection </w:t>
      </w:r>
      <w:r w:rsidRPr="0018646B">
        <w:rPr>
          <w:b/>
          <w:bCs/>
        </w:rPr>
        <w:t>(BIII)</w:t>
      </w:r>
      <w:r w:rsidRPr="0018646B">
        <w:rPr>
          <w:b/>
        </w:rPr>
        <w:t>.</w:t>
      </w:r>
    </w:p>
    <w:p w:rsidR="007B467C" w:rsidRPr="0018646B" w:rsidRDefault="007B467C" w:rsidP="00F37775">
      <w:pPr>
        <w:pStyle w:val="NoSpacing"/>
        <w:numPr>
          <w:ilvl w:val="0"/>
          <w:numId w:val="23"/>
        </w:numPr>
      </w:pPr>
      <w:r w:rsidRPr="0018646B">
        <w:rPr>
          <w:bCs/>
        </w:rPr>
        <w:t>In virologically suppressed patients in whom ART was modified because of drug toxicity or for regimen simplification</w:t>
      </w:r>
      <w:r w:rsidRPr="0018646B">
        <w:t xml:space="preserve">. Viral load measurement should be performed within 4 to 8 weeks after changing therapy </w:t>
      </w:r>
      <w:r w:rsidRPr="0018646B">
        <w:rPr>
          <w:b/>
          <w:bCs/>
        </w:rPr>
        <w:t>(AIII)</w:t>
      </w:r>
      <w:r w:rsidRPr="0018646B">
        <w:rPr>
          <w:b/>
        </w:rPr>
        <w:t>.</w:t>
      </w:r>
      <w:r w:rsidRPr="0018646B">
        <w:t xml:space="preserve"> The purpose of viral load monitoring at this point is to confirm the effectiveness of the new regimen. </w:t>
      </w:r>
    </w:p>
    <w:p w:rsidR="007B467C" w:rsidRPr="0018646B" w:rsidRDefault="007B467C" w:rsidP="00F37775">
      <w:pPr>
        <w:pStyle w:val="NoSpacing"/>
        <w:numPr>
          <w:ilvl w:val="0"/>
          <w:numId w:val="23"/>
        </w:numPr>
      </w:pPr>
      <w:r w:rsidRPr="0018646B">
        <w:rPr>
          <w:bCs/>
        </w:rPr>
        <w:t>In patients on a stable, suppressive ARV regimen</w:t>
      </w:r>
      <w:r w:rsidRPr="0018646B">
        <w:t xml:space="preserve">. Viral load should be repeated every 3 to 4 months </w:t>
      </w:r>
      <w:r w:rsidRPr="0018646B">
        <w:rPr>
          <w:b/>
          <w:bCs/>
        </w:rPr>
        <w:t>(AIII)</w:t>
      </w:r>
      <w:r w:rsidRPr="0018646B">
        <w:t xml:space="preserve"> or as clinically indicated to confirm continuous viral suppression. Clinicians may extend the interval to 6 months for adherent patients whose viral load has been suppressed for more than 2 years and whose clinical and immunologic status is stable </w:t>
      </w:r>
      <w:r w:rsidRPr="0018646B">
        <w:rPr>
          <w:b/>
          <w:bCs/>
        </w:rPr>
        <w:t>(AIII)</w:t>
      </w:r>
      <w:r w:rsidRPr="0018646B">
        <w:rPr>
          <w:b/>
        </w:rPr>
        <w:t>.</w:t>
      </w:r>
      <w:r w:rsidRPr="0018646B">
        <w:t> </w:t>
      </w:r>
    </w:p>
    <w:p w:rsidR="00795DDD" w:rsidRPr="0018646B" w:rsidRDefault="00795DDD" w:rsidP="00795DDD">
      <w:pPr>
        <w:pStyle w:val="NoSpacing"/>
      </w:pPr>
    </w:p>
    <w:p w:rsidR="00795DDD" w:rsidRPr="0018646B" w:rsidRDefault="00795DDD" w:rsidP="00795DDD">
      <w:r w:rsidRPr="0018646B">
        <w:t xml:space="preserve">Guideline 2--WHO: </w:t>
      </w:r>
    </w:p>
    <w:p w:rsidR="00795DDD" w:rsidRPr="0018646B" w:rsidRDefault="00795DDD" w:rsidP="00795DDD">
      <w:pPr>
        <w:rPr>
          <w:b/>
          <w:u w:val="single"/>
        </w:rPr>
      </w:pPr>
      <w:r w:rsidRPr="0018646B">
        <w:rPr>
          <w:b/>
          <w:u w:val="single"/>
        </w:rPr>
        <w:t>Recommendations Related to VL Monitoring</w:t>
      </w:r>
    </w:p>
    <w:p w:rsidR="00795DDD" w:rsidRPr="0018646B" w:rsidRDefault="00795DDD" w:rsidP="00795DDD">
      <w:pPr>
        <w:pStyle w:val="ListParagraph"/>
        <w:numPr>
          <w:ilvl w:val="0"/>
          <w:numId w:val="36"/>
        </w:numPr>
        <w:rPr>
          <w:b/>
          <w:u w:val="single"/>
        </w:rPr>
      </w:pPr>
      <w:r w:rsidRPr="0018646B">
        <w:rPr>
          <w:rFonts w:cs="PWPDT M+ Frutiger"/>
          <w:color w:val="000000"/>
        </w:rPr>
        <w:t>Routine viral load monitoring can be carried out at 6 months, at 12 months and then every 12 months thereafter if the patient is stable on ART to synchronize with routine monitoring and evaluation reporting (conditional recommendation, very low-quality evidence). (page 129)</w:t>
      </w:r>
    </w:p>
    <w:p w:rsidR="00795DDD" w:rsidRPr="0018646B" w:rsidRDefault="00795DDD" w:rsidP="00795DDD">
      <w:pPr>
        <w:pStyle w:val="ListParagraph"/>
        <w:numPr>
          <w:ilvl w:val="0"/>
          <w:numId w:val="36"/>
        </w:numPr>
        <w:rPr>
          <w:b/>
          <w:u w:val="single"/>
        </w:rPr>
      </w:pPr>
      <w:r w:rsidRPr="0018646B">
        <w:rPr>
          <w:rFonts w:cs="PWPDT M+ Frutiger"/>
          <w:color w:val="000000"/>
        </w:rPr>
        <w:t>In settings where routine viral load monitoring is available, CD4 cell count monitoring can be stopped in individuals who are stable on ART and virally suppressed (conditional recommendation, low-quality evidence). (page 129)</w:t>
      </w:r>
    </w:p>
    <w:p w:rsidR="00795DDD" w:rsidRPr="0018646B" w:rsidRDefault="00795DDD" w:rsidP="00795DDD">
      <w:pPr>
        <w:pStyle w:val="ListParagraph"/>
        <w:numPr>
          <w:ilvl w:val="0"/>
          <w:numId w:val="36"/>
        </w:numPr>
        <w:rPr>
          <w:b/>
          <w:u w:val="single"/>
        </w:rPr>
      </w:pPr>
      <w:r w:rsidRPr="0018646B">
        <w:rPr>
          <w:rFonts w:cs="PWPDT M+ Frutiger"/>
          <w:color w:val="000000"/>
        </w:rPr>
        <w:t>Viral load is recommended as the preferred monitoring approach to diagnose and confirm treatment failure</w:t>
      </w:r>
      <w:r w:rsidRPr="0018646B">
        <w:rPr>
          <w:rStyle w:val="A16"/>
          <w:sz w:val="22"/>
          <w:szCs w:val="22"/>
        </w:rPr>
        <w:t xml:space="preserve"> </w:t>
      </w:r>
      <w:r w:rsidRPr="0018646B">
        <w:rPr>
          <w:rFonts w:cs="PWPDT M+ Frutiger"/>
          <w:color w:val="000000"/>
        </w:rPr>
        <w:t>(strong recommendation, low-quality evidence). (page 130)</w:t>
      </w:r>
    </w:p>
    <w:p w:rsidR="00795DDD" w:rsidRPr="0018646B" w:rsidRDefault="00795DDD" w:rsidP="00795DDD">
      <w:pPr>
        <w:rPr>
          <w:b/>
          <w:u w:val="single"/>
        </w:rPr>
      </w:pPr>
      <w:r w:rsidRPr="0018646B">
        <w:rPr>
          <w:b/>
          <w:u w:val="single"/>
        </w:rPr>
        <w:t>Recommendations Related to ART for PLWH (as a means for achieving VLS)</w:t>
      </w:r>
    </w:p>
    <w:p w:rsidR="00795DDD" w:rsidRPr="0018646B" w:rsidRDefault="00795DDD" w:rsidP="00795DDD">
      <w:pPr>
        <w:pStyle w:val="ListParagraph"/>
        <w:numPr>
          <w:ilvl w:val="0"/>
          <w:numId w:val="37"/>
        </w:numPr>
      </w:pPr>
      <w:r w:rsidRPr="0018646B">
        <w:rPr>
          <w:rFonts w:cs="Frutiger 47LightCn"/>
          <w:bCs/>
          <w:color w:val="000000"/>
        </w:rPr>
        <w:t>ART should be initiated in all adults living with HIV, regardless of WHO clinical stage and at any CD4 cell count (strong recommendation, moderate-quality evidence). (page 74)</w:t>
      </w:r>
    </w:p>
    <w:p w:rsidR="00795DDD" w:rsidRPr="0018646B" w:rsidRDefault="00795DDD" w:rsidP="00795DDD">
      <w:pPr>
        <w:pStyle w:val="ListParagraph"/>
        <w:numPr>
          <w:ilvl w:val="0"/>
          <w:numId w:val="37"/>
        </w:numPr>
      </w:pPr>
      <w:r w:rsidRPr="0018646B">
        <w:rPr>
          <w:rFonts w:cs="PWPDT M+ Frutiger"/>
          <w:color w:val="000000"/>
        </w:rPr>
        <w:t xml:space="preserve">As a priority, ART should be initiated in all adults with severe or advanced HIV clinical disease (WHO clinical stage 3 or 4) and adults with CD4 count </w:t>
      </w:r>
      <w:r w:rsidRPr="0018646B">
        <w:rPr>
          <w:rFonts w:eastAsia="Myriad Pro Cond" w:cs="Myriad Pro Cond"/>
          <w:color w:val="000000"/>
        </w:rPr>
        <w:t>≤</w:t>
      </w:r>
      <w:r w:rsidRPr="0018646B">
        <w:rPr>
          <w:rFonts w:eastAsia="Myriad Pro Cond" w:cs="PWPDT M+ Frutiger"/>
          <w:color w:val="000000"/>
        </w:rPr>
        <w:t>350 cells/mm3 (strong recommendation, moderate-quality evidence). (page 74)</w:t>
      </w:r>
    </w:p>
    <w:p w:rsidR="00795DDD" w:rsidRPr="0018646B" w:rsidRDefault="00795DDD" w:rsidP="00795DDD">
      <w:pPr>
        <w:pStyle w:val="ListParagraph"/>
        <w:numPr>
          <w:ilvl w:val="0"/>
          <w:numId w:val="37"/>
        </w:numPr>
      </w:pPr>
      <w:r w:rsidRPr="0018646B">
        <w:rPr>
          <w:rFonts w:cs="PWPDT M+ Frutiger"/>
          <w:color w:val="000000"/>
        </w:rPr>
        <w:t>ART should be initiated in all pregnant and breastfeeding women living with HIV regardless of WHO clinical stage and at any CD4 cell count and continued lifelong (strong recommendation, moderate-quality evidence). (page 81)</w:t>
      </w:r>
    </w:p>
    <w:p w:rsidR="00795DDD" w:rsidRPr="0018646B" w:rsidRDefault="00795DDD" w:rsidP="00795DDD">
      <w:pPr>
        <w:pStyle w:val="ListParagraph"/>
        <w:numPr>
          <w:ilvl w:val="0"/>
          <w:numId w:val="37"/>
        </w:numPr>
      </w:pPr>
      <w:r w:rsidRPr="0018646B">
        <w:rPr>
          <w:rFonts w:cs="PWPDT M+ Frutiger"/>
          <w:color w:val="000000"/>
        </w:rPr>
        <w:t>ART should be initiated in all adolescents living with HIV, regardless of WHO clinical stage and at any CD4 cell count (conditional recommendation, low-quality evidence). (page 86)</w:t>
      </w:r>
    </w:p>
    <w:p w:rsidR="00795DDD" w:rsidRPr="0018646B" w:rsidRDefault="00795DDD" w:rsidP="00795DDD">
      <w:pPr>
        <w:pStyle w:val="ListParagraph"/>
        <w:numPr>
          <w:ilvl w:val="0"/>
          <w:numId w:val="37"/>
        </w:numPr>
      </w:pPr>
      <w:r w:rsidRPr="0018646B">
        <w:rPr>
          <w:rFonts w:cs="PWPDT M+ Frutiger"/>
          <w:color w:val="000000"/>
        </w:rPr>
        <w:t>ART should be initiated in all children living with HIV, regardless of WHO clinical stage or at any CD4 cell count</w:t>
      </w:r>
      <w:r w:rsidRPr="0018646B">
        <w:rPr>
          <w:rFonts w:cs="Frutiger 47LightCn"/>
          <w:b/>
          <w:bCs/>
          <w:color w:val="000000"/>
        </w:rPr>
        <w:t xml:space="preserve">: </w:t>
      </w:r>
    </w:p>
    <w:p w:rsidR="00795DDD" w:rsidRPr="0018646B" w:rsidRDefault="00795DDD" w:rsidP="00795DDD">
      <w:pPr>
        <w:pStyle w:val="ListParagraph"/>
        <w:numPr>
          <w:ilvl w:val="1"/>
          <w:numId w:val="37"/>
        </w:numPr>
      </w:pPr>
      <w:r w:rsidRPr="0018646B">
        <w:rPr>
          <w:rFonts w:cs="PWPDT M+ Frutiger"/>
          <w:color w:val="000000"/>
        </w:rPr>
        <w:t xml:space="preserve">Infants diagnosed in the first year of life (strong recommendation, moderate-quality evidence); </w:t>
      </w:r>
    </w:p>
    <w:p w:rsidR="00795DDD" w:rsidRPr="0018646B" w:rsidRDefault="00795DDD" w:rsidP="00795DDD">
      <w:pPr>
        <w:pStyle w:val="ListParagraph"/>
        <w:numPr>
          <w:ilvl w:val="1"/>
          <w:numId w:val="37"/>
        </w:numPr>
      </w:pPr>
      <w:r w:rsidRPr="0018646B">
        <w:rPr>
          <w:rFonts w:cs="Frutiger 47LightCn"/>
          <w:bCs/>
          <w:color w:val="000000"/>
        </w:rPr>
        <w:t>Children living with HIV 1 year old to less than 10 years old (conditional recommendation, low-quality evidence). (page 89)</w:t>
      </w:r>
    </w:p>
    <w:p w:rsidR="00795DDD" w:rsidRPr="0018646B" w:rsidRDefault="00795DDD" w:rsidP="00795DDD">
      <w:pPr>
        <w:pStyle w:val="ListParagraph"/>
        <w:numPr>
          <w:ilvl w:val="0"/>
          <w:numId w:val="37"/>
        </w:numPr>
      </w:pPr>
      <w:r w:rsidRPr="0018646B">
        <w:rPr>
          <w:rFonts w:cs="PWPDT M+ Frutiger"/>
          <w:color w:val="000000"/>
        </w:rPr>
        <w:t xml:space="preserve">As a priority, ART should be initiated in all children </w:t>
      </w:r>
      <w:r w:rsidRPr="0018646B">
        <w:rPr>
          <w:rFonts w:eastAsia="Myriad Pro Cond" w:cs="Myriad Pro Cond"/>
          <w:color w:val="000000"/>
        </w:rPr>
        <w:t>≤</w:t>
      </w:r>
      <w:r w:rsidRPr="0018646B">
        <w:rPr>
          <w:rFonts w:eastAsia="Myriad Pro Cond" w:cs="PWPDT M+ Frutiger"/>
          <w:color w:val="000000"/>
        </w:rPr>
        <w:t xml:space="preserve">2 years of age or children younger than 5 years of age with WHO clinical stage 3 or 4 or CD4 count </w:t>
      </w:r>
      <w:r w:rsidRPr="0018646B">
        <w:rPr>
          <w:rFonts w:eastAsia="Myriad Pro Cond" w:cs="Myriad Pro Cond"/>
          <w:color w:val="000000"/>
        </w:rPr>
        <w:t>≤</w:t>
      </w:r>
      <w:r w:rsidRPr="0018646B">
        <w:rPr>
          <w:rFonts w:eastAsia="Myriad Pro Cond" w:cs="PWPDT M+ Frutiger"/>
          <w:color w:val="000000"/>
        </w:rPr>
        <w:t xml:space="preserve">750 cells/mm³ or CD4 percentage &lt;25%, and children 5 years of age and older with WHO HIV clinical stage 3 or 4 disease or CD4 count </w:t>
      </w:r>
      <w:r w:rsidRPr="0018646B">
        <w:rPr>
          <w:rFonts w:eastAsia="Myriad Pro Cond" w:cs="Myriad Pro Cond"/>
          <w:color w:val="000000"/>
        </w:rPr>
        <w:t>≤</w:t>
      </w:r>
      <w:r w:rsidRPr="0018646B">
        <w:rPr>
          <w:rFonts w:eastAsia="Myriad Pro Cond" w:cs="PWPDT M+ Frutiger"/>
          <w:color w:val="000000"/>
        </w:rPr>
        <w:t>350 cells/mm³ (strong recommendation, moderate-quality evidence). (page 89)</w:t>
      </w:r>
    </w:p>
    <w:p w:rsidR="008A45F3" w:rsidRPr="0018646B" w:rsidRDefault="00B058A6" w:rsidP="00265702">
      <w:pPr>
        <w:ind w:left="0" w:firstLine="0"/>
      </w:pPr>
      <w:r w:rsidRPr="0018646B">
        <w:rPr>
          <w:b/>
          <w:color w:val="0000FF"/>
        </w:rPr>
        <w:t>1</w:t>
      </w:r>
      <w:r w:rsidR="00773485" w:rsidRPr="0018646B">
        <w:rPr>
          <w:b/>
          <w:color w:val="0000FF"/>
        </w:rPr>
        <w:t>a</w:t>
      </w:r>
      <w:r w:rsidRPr="0018646B">
        <w:rPr>
          <w:b/>
          <w:color w:val="0000FF"/>
        </w:rPr>
        <w:t>.4</w:t>
      </w:r>
      <w:r w:rsidR="00265702" w:rsidRPr="0018646B">
        <w:rPr>
          <w:b/>
          <w:color w:val="0000FF"/>
        </w:rPr>
        <w:t>.3</w:t>
      </w:r>
      <w:r w:rsidR="008B51D9" w:rsidRPr="0018646B">
        <w:rPr>
          <w:b/>
          <w:color w:val="0000FF"/>
        </w:rPr>
        <w:t>.</w:t>
      </w:r>
      <w:r w:rsidR="008B51D9" w:rsidRPr="0018646B">
        <w:rPr>
          <w:bCs/>
        </w:rPr>
        <w:t xml:space="preserve"> </w:t>
      </w:r>
      <w:r w:rsidR="00496AF8" w:rsidRPr="0018646B">
        <w:rPr>
          <w:b/>
        </w:rPr>
        <w:t xml:space="preserve">Grade assigned to the </w:t>
      </w:r>
      <w:r w:rsidR="00736AEC" w:rsidRPr="0018646B">
        <w:rPr>
          <w:b/>
        </w:rPr>
        <w:t xml:space="preserve">quoted </w:t>
      </w:r>
      <w:r w:rsidR="00496AF8" w:rsidRPr="0018646B">
        <w:rPr>
          <w:b/>
        </w:rPr>
        <w:t xml:space="preserve">recommendation </w:t>
      </w:r>
      <w:r w:rsidR="00496AF8" w:rsidRPr="0018646B">
        <w:rPr>
          <w:b/>
          <w:u w:val="single"/>
        </w:rPr>
        <w:t>with definition</w:t>
      </w:r>
      <w:r w:rsidR="00496AF8" w:rsidRPr="0018646B">
        <w:rPr>
          <w:b/>
        </w:rPr>
        <w:t xml:space="preserve"> of the grade</w:t>
      </w:r>
      <w:r w:rsidR="00FC32D3" w:rsidRPr="0018646B">
        <w:rPr>
          <w:b/>
        </w:rPr>
        <w:t>:</w:t>
      </w:r>
      <w:r w:rsidR="008A45F3" w:rsidRPr="0018646B">
        <w:t xml:space="preserve"> </w:t>
      </w:r>
      <w:r w:rsidR="00496AF8" w:rsidRPr="0018646B">
        <w:t xml:space="preserve"> </w:t>
      </w:r>
    </w:p>
    <w:p w:rsidR="00D55E8D" w:rsidRPr="0018646B" w:rsidRDefault="00D55E8D" w:rsidP="00D55E8D"/>
    <w:p w:rsidR="00795DDD" w:rsidRPr="0018646B" w:rsidRDefault="00795DDD" w:rsidP="00D55E8D">
      <w:pPr>
        <w:rPr>
          <w:b/>
          <w:color w:val="0000FF"/>
        </w:rPr>
      </w:pPr>
      <w:r w:rsidRPr="0018646B">
        <w:rPr>
          <w:b/>
          <w:color w:val="0000FF"/>
        </w:rPr>
        <w:t>Guideline 1--DHHS</w:t>
      </w:r>
    </w:p>
    <w:p w:rsidR="00795DDD" w:rsidRPr="0018646B" w:rsidRDefault="00795DDD" w:rsidP="00D55E8D"/>
    <w:p w:rsidR="00795DDD" w:rsidRPr="0018646B" w:rsidRDefault="00795DDD" w:rsidP="00D55E8D">
      <w:pPr>
        <w:pStyle w:val="ListParagraph"/>
        <w:ind w:left="0" w:firstLine="0"/>
        <w:rPr>
          <w:b/>
          <w:color w:val="0000FF"/>
        </w:rPr>
      </w:pPr>
      <w:r w:rsidRPr="0018646B">
        <w:rPr>
          <w:b/>
          <w:color w:val="0000FF"/>
        </w:rPr>
        <w:t>Guideline 2--WHO</w:t>
      </w:r>
    </w:p>
    <w:p w:rsidR="00795DDD" w:rsidRPr="0018646B" w:rsidRDefault="00795DDD" w:rsidP="00D55E8D">
      <w:pPr>
        <w:pStyle w:val="ListParagraph"/>
        <w:ind w:left="0" w:firstLine="0"/>
        <w:rPr>
          <w:b/>
          <w:color w:val="0000FF"/>
        </w:rPr>
      </w:pPr>
    </w:p>
    <w:p w:rsidR="00795DDD" w:rsidRPr="0018646B" w:rsidRDefault="00795DDD" w:rsidP="00D55E8D">
      <w:pPr>
        <w:pStyle w:val="ListParagraph"/>
        <w:ind w:left="0" w:firstLine="0"/>
        <w:rPr>
          <w:b/>
          <w:color w:val="0000FF"/>
        </w:rPr>
      </w:pPr>
    </w:p>
    <w:p w:rsidR="00D55E8D" w:rsidRPr="0018646B" w:rsidRDefault="00D55E8D" w:rsidP="00D55E8D">
      <w:pPr>
        <w:ind w:left="0" w:firstLine="0"/>
        <w:rPr>
          <w:b/>
          <w:color w:val="0000FF"/>
        </w:rPr>
      </w:pPr>
    </w:p>
    <w:p w:rsidR="00D55E8D" w:rsidRPr="0018646B" w:rsidRDefault="00D55E8D" w:rsidP="007A0BAB">
      <w:pPr>
        <w:autoSpaceDE w:val="0"/>
        <w:autoSpaceDN w:val="0"/>
        <w:adjustRightInd w:val="0"/>
        <w:ind w:left="0" w:firstLine="0"/>
        <w:rPr>
          <w:rFonts w:cs="ArialNarrow-BoldItalic"/>
          <w:b/>
          <w:bCs/>
          <w:i/>
          <w:iCs/>
          <w:color w:val="000000"/>
        </w:rPr>
      </w:pPr>
    </w:p>
    <w:p w:rsidR="00406CD6" w:rsidRPr="0018646B" w:rsidRDefault="00406CD6" w:rsidP="00265702">
      <w:pPr>
        <w:ind w:left="0" w:firstLine="0"/>
      </w:pPr>
    </w:p>
    <w:p w:rsidR="00406CD6" w:rsidRPr="0018646B" w:rsidRDefault="00354480" w:rsidP="00265702">
      <w:pPr>
        <w:ind w:left="0" w:firstLine="0"/>
      </w:pPr>
      <w:r w:rsidRPr="0018646B">
        <w:t xml:space="preserve"> </w:t>
      </w:r>
    </w:p>
    <w:p w:rsidR="00354480" w:rsidRPr="0018646B" w:rsidRDefault="00354480" w:rsidP="00265702">
      <w:pPr>
        <w:ind w:left="0" w:firstLine="0"/>
      </w:pPr>
    </w:p>
    <w:p w:rsidR="00354480" w:rsidRPr="0018646B" w:rsidRDefault="00354480" w:rsidP="00F37775">
      <w:pPr>
        <w:pStyle w:val="ListParagraph"/>
        <w:ind w:firstLine="0"/>
      </w:pPr>
    </w:p>
    <w:p w:rsidR="006E7E32" w:rsidRPr="0018646B" w:rsidRDefault="006E7E32" w:rsidP="00F37775"/>
    <w:p w:rsidR="006E7E32" w:rsidRPr="0018646B" w:rsidRDefault="006E7E32" w:rsidP="006E7E32">
      <w:pPr>
        <w:ind w:left="0" w:firstLine="0"/>
      </w:pPr>
      <w:r w:rsidRPr="0018646B">
        <w:rPr>
          <w:b/>
          <w:color w:val="0000FF"/>
        </w:rPr>
        <w:t>1a.4.3.</w:t>
      </w:r>
      <w:r w:rsidRPr="0018646B">
        <w:rPr>
          <w:bCs/>
        </w:rPr>
        <w:t xml:space="preserve"> </w:t>
      </w:r>
      <w:r w:rsidRPr="0018646B">
        <w:rPr>
          <w:b/>
        </w:rPr>
        <w:t xml:space="preserve">Grade assigned to the quoted recommendation </w:t>
      </w:r>
      <w:r w:rsidRPr="0018646B">
        <w:rPr>
          <w:b/>
          <w:u w:val="single"/>
        </w:rPr>
        <w:t>with definition</w:t>
      </w:r>
      <w:r w:rsidRPr="0018646B">
        <w:rPr>
          <w:b/>
        </w:rPr>
        <w:t xml:space="preserve"> of the grade:</w:t>
      </w:r>
      <w:r w:rsidRPr="0018646B">
        <w:t xml:space="preserve">  </w:t>
      </w:r>
    </w:p>
    <w:p w:rsidR="008A45F3" w:rsidRPr="0018646B" w:rsidRDefault="00CA0B17" w:rsidP="00265702">
      <w:pPr>
        <w:ind w:left="0" w:firstLine="0"/>
      </w:pPr>
      <w:r w:rsidRPr="0018646B">
        <w:t>Guideline 1—DHHS:</w:t>
      </w:r>
    </w:p>
    <w:p w:rsidR="00CA0B17" w:rsidRPr="0018646B" w:rsidRDefault="00CA0B17" w:rsidP="00265702">
      <w:pPr>
        <w:ind w:left="0" w:firstLine="0"/>
      </w:pPr>
    </w:p>
    <w:p w:rsidR="00CA0B17" w:rsidRPr="0018646B" w:rsidRDefault="00CA0B17" w:rsidP="00265702">
      <w:pPr>
        <w:ind w:left="0" w:firstLine="0"/>
      </w:pPr>
    </w:p>
    <w:p w:rsidR="00265702" w:rsidRPr="0018646B" w:rsidRDefault="00965FF6" w:rsidP="00265702">
      <w:pPr>
        <w:ind w:left="0" w:firstLine="0"/>
      </w:pPr>
      <w:r w:rsidRPr="0018646B">
        <w:rPr>
          <w:b/>
          <w:color w:val="0000FF"/>
        </w:rPr>
        <w:t>1a.4.4.</w:t>
      </w:r>
      <w:r w:rsidRPr="0018646B">
        <w:rPr>
          <w:b/>
          <w:color w:val="17365D" w:themeColor="text2" w:themeShade="BF"/>
        </w:rPr>
        <w:t xml:space="preserve"> </w:t>
      </w:r>
      <w:r w:rsidR="00C54E40" w:rsidRPr="0018646B">
        <w:rPr>
          <w:b/>
        </w:rPr>
        <w:t>Provide all other grades and associated definitions for recommendation</w:t>
      </w:r>
      <w:r w:rsidR="00205857" w:rsidRPr="0018646B">
        <w:rPr>
          <w:b/>
        </w:rPr>
        <w:t>s</w:t>
      </w:r>
      <w:r w:rsidR="00C54E40" w:rsidRPr="0018646B">
        <w:rPr>
          <w:b/>
        </w:rPr>
        <w:t xml:space="preserve"> in the grading system.</w:t>
      </w:r>
      <w:r w:rsidR="00FC32D3" w:rsidRPr="0018646B">
        <w:rPr>
          <w:b/>
        </w:rPr>
        <w:t xml:space="preserve"> </w:t>
      </w:r>
      <w:r w:rsidR="007573F0" w:rsidRPr="0018646B">
        <w:rPr>
          <w:b/>
        </w:rPr>
        <w:t xml:space="preserve"> </w:t>
      </w:r>
      <w:r w:rsidR="007573F0" w:rsidRPr="0018646B">
        <w:t>(</w:t>
      </w:r>
      <w:r w:rsidR="008A45F3" w:rsidRPr="0018646B">
        <w:rPr>
          <w:i/>
        </w:rPr>
        <w:t xml:space="preserve">Note: </w:t>
      </w:r>
      <w:r w:rsidR="00352B52" w:rsidRPr="0018646B">
        <w:rPr>
          <w:i/>
        </w:rPr>
        <w:t xml:space="preserve">If separate </w:t>
      </w:r>
      <w:r w:rsidRPr="0018646B">
        <w:rPr>
          <w:i/>
        </w:rPr>
        <w:t>g</w:t>
      </w:r>
      <w:r w:rsidR="00352B52" w:rsidRPr="0018646B">
        <w:rPr>
          <w:i/>
        </w:rPr>
        <w:t xml:space="preserve">rades </w:t>
      </w:r>
      <w:r w:rsidR="00030F43" w:rsidRPr="0018646B">
        <w:rPr>
          <w:i/>
        </w:rPr>
        <w:t xml:space="preserve">for the </w:t>
      </w:r>
      <w:r w:rsidR="00352B52" w:rsidRPr="0018646B">
        <w:rPr>
          <w:i/>
        </w:rPr>
        <w:t xml:space="preserve">strength of the </w:t>
      </w:r>
      <w:r w:rsidR="00030F43" w:rsidRPr="0018646B">
        <w:rPr>
          <w:i/>
        </w:rPr>
        <w:t>evidence</w:t>
      </w:r>
      <w:r w:rsidR="00352B52" w:rsidRPr="0018646B">
        <w:rPr>
          <w:i/>
        </w:rPr>
        <w:t xml:space="preserve">, report </w:t>
      </w:r>
      <w:r w:rsidR="00205857" w:rsidRPr="0018646B">
        <w:rPr>
          <w:i/>
        </w:rPr>
        <w:t xml:space="preserve">them </w:t>
      </w:r>
      <w:r w:rsidR="00030F43" w:rsidRPr="0018646B">
        <w:rPr>
          <w:i/>
        </w:rPr>
        <w:t>in section 1a.7.</w:t>
      </w:r>
      <w:r w:rsidR="00030F43" w:rsidRPr="0018646B">
        <w:t>)</w:t>
      </w:r>
      <w:r w:rsidRPr="0018646B">
        <w:t xml:space="preserve"> </w:t>
      </w:r>
    </w:p>
    <w:p w:rsidR="00795DDD" w:rsidRPr="0018646B" w:rsidRDefault="00795DDD" w:rsidP="002E2177">
      <w:pPr>
        <w:ind w:left="432" w:hanging="432"/>
        <w:rPr>
          <w:b/>
          <w:color w:val="0000FF"/>
        </w:rPr>
      </w:pPr>
    </w:p>
    <w:p w:rsidR="00795DDD" w:rsidRPr="0018646B" w:rsidRDefault="00CA0B17" w:rsidP="002E2177">
      <w:pPr>
        <w:ind w:left="432" w:hanging="432"/>
        <w:rPr>
          <w:b/>
          <w:color w:val="0000FF"/>
        </w:rPr>
      </w:pPr>
      <w:r w:rsidRPr="0018646B">
        <w:rPr>
          <w:b/>
          <w:color w:val="0000FF"/>
        </w:rPr>
        <w:t xml:space="preserve">Guideline 1—DHHS: </w:t>
      </w:r>
    </w:p>
    <w:tbl>
      <w:tblPr>
        <w:tblStyle w:val="TableGrid"/>
        <w:tblW w:w="0" w:type="auto"/>
        <w:tblInd w:w="432" w:type="dxa"/>
        <w:tblLook w:val="04A0" w:firstRow="1" w:lastRow="0" w:firstColumn="1" w:lastColumn="0" w:noHBand="0" w:noVBand="1"/>
      </w:tblPr>
      <w:tblGrid>
        <w:gridCol w:w="4459"/>
        <w:gridCol w:w="4459"/>
      </w:tblGrid>
      <w:tr w:rsidR="00CA0B17" w:rsidRPr="0018646B" w:rsidTr="00CA0B17">
        <w:tc>
          <w:tcPr>
            <w:tcW w:w="4459" w:type="dxa"/>
          </w:tcPr>
          <w:p w:rsidR="00CA0B17" w:rsidRPr="0018646B" w:rsidRDefault="00CA0B17" w:rsidP="00CA0B17">
            <w:pPr>
              <w:ind w:left="0" w:firstLine="0"/>
              <w:rPr>
                <w:b/>
                <w:color w:val="0000FF"/>
              </w:rPr>
            </w:pPr>
            <w:r w:rsidRPr="0018646B">
              <w:rPr>
                <w:b/>
                <w:color w:val="0000FF"/>
              </w:rPr>
              <w:t xml:space="preserve">Strength of Recommendation </w:t>
            </w:r>
          </w:p>
        </w:tc>
        <w:tc>
          <w:tcPr>
            <w:tcW w:w="4459" w:type="dxa"/>
          </w:tcPr>
          <w:p w:rsidR="00CA0B17" w:rsidRPr="0018646B" w:rsidRDefault="00CA0B17" w:rsidP="00CA0B17">
            <w:pPr>
              <w:ind w:left="0" w:firstLine="0"/>
              <w:rPr>
                <w:b/>
                <w:color w:val="0000FF"/>
              </w:rPr>
            </w:pPr>
            <w:r w:rsidRPr="0018646B">
              <w:rPr>
                <w:b/>
                <w:color w:val="0000FF"/>
              </w:rPr>
              <w:t>Quality of Evidence for Recommendation</w:t>
            </w:r>
          </w:p>
        </w:tc>
      </w:tr>
      <w:tr w:rsidR="00CA0B17" w:rsidRPr="0018646B" w:rsidTr="00CA0B17">
        <w:tc>
          <w:tcPr>
            <w:tcW w:w="4459" w:type="dxa"/>
          </w:tcPr>
          <w:p w:rsidR="00CA0B17" w:rsidRPr="0018646B" w:rsidRDefault="00CA0B17" w:rsidP="00CA0B17">
            <w:pPr>
              <w:ind w:left="0" w:firstLine="0"/>
              <w:rPr>
                <w:b/>
                <w:color w:val="0000FF"/>
              </w:rPr>
            </w:pPr>
            <w:r w:rsidRPr="0018646B">
              <w:rPr>
                <w:b/>
                <w:bCs/>
                <w:color w:val="0000FF"/>
              </w:rPr>
              <w:t xml:space="preserve">A: </w:t>
            </w:r>
            <w:r w:rsidRPr="0018646B">
              <w:rPr>
                <w:color w:val="0000FF"/>
              </w:rPr>
              <w:t>Strong recommendation for the statement</w:t>
            </w:r>
          </w:p>
          <w:p w:rsidR="00CA0B17" w:rsidRPr="0018646B" w:rsidRDefault="00CA0B17" w:rsidP="00CA0B17">
            <w:pPr>
              <w:ind w:left="0" w:firstLine="0"/>
              <w:rPr>
                <w:b/>
                <w:color w:val="0000FF"/>
              </w:rPr>
            </w:pPr>
            <w:r w:rsidRPr="0018646B">
              <w:rPr>
                <w:b/>
                <w:bCs/>
                <w:color w:val="0000FF"/>
              </w:rPr>
              <w:t xml:space="preserve">B: </w:t>
            </w:r>
            <w:r w:rsidRPr="0018646B">
              <w:rPr>
                <w:color w:val="0000FF"/>
              </w:rPr>
              <w:t>Moderate recommendation for the statement</w:t>
            </w:r>
          </w:p>
          <w:p w:rsidR="00CA0B17" w:rsidRPr="0018646B" w:rsidRDefault="00CA0B17" w:rsidP="00CA0B17">
            <w:pPr>
              <w:ind w:left="0" w:firstLine="0"/>
              <w:rPr>
                <w:b/>
                <w:color w:val="0000FF"/>
              </w:rPr>
            </w:pPr>
            <w:r w:rsidRPr="0018646B">
              <w:rPr>
                <w:b/>
                <w:bCs/>
                <w:color w:val="0000FF"/>
              </w:rPr>
              <w:t xml:space="preserve">C: </w:t>
            </w:r>
            <w:r w:rsidRPr="0018646B">
              <w:rPr>
                <w:color w:val="0000FF"/>
              </w:rPr>
              <w:t>Optional recommendation for the statement</w:t>
            </w:r>
          </w:p>
          <w:p w:rsidR="00CA0B17" w:rsidRPr="0018646B" w:rsidRDefault="00CA0B17" w:rsidP="002E2177">
            <w:pPr>
              <w:ind w:left="0" w:firstLine="0"/>
              <w:rPr>
                <w:b/>
                <w:color w:val="0000FF"/>
              </w:rPr>
            </w:pPr>
          </w:p>
        </w:tc>
        <w:tc>
          <w:tcPr>
            <w:tcW w:w="4459" w:type="dxa"/>
          </w:tcPr>
          <w:p w:rsidR="00CA0B17" w:rsidRPr="0018646B" w:rsidRDefault="00CA0B17" w:rsidP="00CA0B17">
            <w:pPr>
              <w:autoSpaceDE w:val="0"/>
              <w:autoSpaceDN w:val="0"/>
              <w:adjustRightInd w:val="0"/>
              <w:ind w:left="0" w:firstLine="0"/>
              <w:rPr>
                <w:rFonts w:cs="ArialNarrow"/>
                <w:color w:val="0000FF"/>
              </w:rPr>
            </w:pPr>
            <w:r w:rsidRPr="0018646B">
              <w:rPr>
                <w:rFonts w:cs="ArialNarrow-Bold"/>
                <w:b/>
                <w:bCs/>
                <w:color w:val="0000FF"/>
              </w:rPr>
              <w:t xml:space="preserve">I: </w:t>
            </w:r>
            <w:r w:rsidRPr="0018646B">
              <w:rPr>
                <w:rFonts w:cs="ArialNarrow"/>
                <w:color w:val="0000FF"/>
              </w:rPr>
              <w:t>One or more randomized trials with clinical outcomes and/or</w:t>
            </w:r>
          </w:p>
          <w:p w:rsidR="00CA0B17" w:rsidRPr="0018646B" w:rsidRDefault="00CA0B17" w:rsidP="00CA0B17">
            <w:pPr>
              <w:autoSpaceDE w:val="0"/>
              <w:autoSpaceDN w:val="0"/>
              <w:adjustRightInd w:val="0"/>
              <w:ind w:left="0" w:firstLine="0"/>
              <w:rPr>
                <w:rFonts w:cs="ArialNarrow"/>
                <w:color w:val="0000FF"/>
              </w:rPr>
            </w:pPr>
            <w:r w:rsidRPr="0018646B">
              <w:rPr>
                <w:rFonts w:cs="ArialNarrow"/>
                <w:color w:val="0000FF"/>
              </w:rPr>
              <w:t>validated laboratory endpoints</w:t>
            </w:r>
          </w:p>
          <w:p w:rsidR="00CA0B17" w:rsidRPr="0018646B" w:rsidRDefault="00CA0B17" w:rsidP="00CA0B17">
            <w:pPr>
              <w:autoSpaceDE w:val="0"/>
              <w:autoSpaceDN w:val="0"/>
              <w:adjustRightInd w:val="0"/>
              <w:ind w:left="0" w:firstLine="0"/>
              <w:rPr>
                <w:rFonts w:cs="ArialNarrow"/>
                <w:color w:val="0000FF"/>
              </w:rPr>
            </w:pPr>
            <w:r w:rsidRPr="0018646B">
              <w:rPr>
                <w:rFonts w:cs="ArialNarrow-Bold"/>
                <w:b/>
                <w:bCs/>
                <w:color w:val="0000FF"/>
              </w:rPr>
              <w:t xml:space="preserve">II: </w:t>
            </w:r>
            <w:r w:rsidRPr="0018646B">
              <w:rPr>
                <w:rFonts w:cs="ArialNarrow"/>
                <w:color w:val="0000FF"/>
              </w:rPr>
              <w:t>One or more well-designed, non-randomized trials or</w:t>
            </w:r>
          </w:p>
          <w:p w:rsidR="00CA0B17" w:rsidRPr="0018646B" w:rsidRDefault="00CA0B17" w:rsidP="00CA0B17">
            <w:pPr>
              <w:autoSpaceDE w:val="0"/>
              <w:autoSpaceDN w:val="0"/>
              <w:adjustRightInd w:val="0"/>
              <w:ind w:left="0" w:firstLine="0"/>
              <w:rPr>
                <w:rFonts w:cs="ArialNarrow"/>
                <w:color w:val="0000FF"/>
              </w:rPr>
            </w:pPr>
            <w:r w:rsidRPr="0018646B">
              <w:rPr>
                <w:rFonts w:cs="ArialNarrow"/>
                <w:color w:val="0000FF"/>
              </w:rPr>
              <w:t>observational cohort studies with long-term clinical</w:t>
            </w:r>
          </w:p>
          <w:p w:rsidR="00CA0B17" w:rsidRPr="0018646B" w:rsidRDefault="00CA0B17" w:rsidP="00CA0B17">
            <w:pPr>
              <w:autoSpaceDE w:val="0"/>
              <w:autoSpaceDN w:val="0"/>
              <w:adjustRightInd w:val="0"/>
              <w:ind w:left="0" w:firstLine="0"/>
              <w:rPr>
                <w:rFonts w:cs="ArialNarrow"/>
                <w:color w:val="0000FF"/>
              </w:rPr>
            </w:pPr>
            <w:r w:rsidRPr="0018646B">
              <w:rPr>
                <w:rFonts w:cs="ArialNarrow"/>
                <w:color w:val="0000FF"/>
              </w:rPr>
              <w:t>outcomes</w:t>
            </w:r>
          </w:p>
          <w:p w:rsidR="00CA0B17" w:rsidRPr="0018646B" w:rsidRDefault="00CA0B17" w:rsidP="00CA0B17">
            <w:pPr>
              <w:ind w:left="0" w:firstLine="0"/>
              <w:rPr>
                <w:b/>
                <w:color w:val="0000FF"/>
              </w:rPr>
            </w:pPr>
            <w:r w:rsidRPr="0018646B">
              <w:rPr>
                <w:rFonts w:cs="ArialNarrow-Bold"/>
                <w:b/>
                <w:bCs/>
                <w:color w:val="0000FF"/>
              </w:rPr>
              <w:t xml:space="preserve">III: </w:t>
            </w:r>
            <w:r w:rsidRPr="0018646B">
              <w:rPr>
                <w:rFonts w:cs="ArialNarrow"/>
                <w:color w:val="0000FF"/>
              </w:rPr>
              <w:t>Expert opinion</w:t>
            </w:r>
          </w:p>
        </w:tc>
      </w:tr>
    </w:tbl>
    <w:p w:rsidR="00CA0B17" w:rsidRPr="0018646B" w:rsidRDefault="00CA0B17" w:rsidP="002E2177">
      <w:pPr>
        <w:ind w:left="432" w:hanging="432"/>
        <w:rPr>
          <w:b/>
          <w:color w:val="0000FF"/>
        </w:rPr>
      </w:pPr>
    </w:p>
    <w:p w:rsidR="00795DDD" w:rsidRPr="0018646B" w:rsidRDefault="00795DDD" w:rsidP="002E2177">
      <w:pPr>
        <w:ind w:left="432" w:hanging="432"/>
        <w:rPr>
          <w:b/>
          <w:color w:val="0000FF"/>
        </w:rPr>
      </w:pPr>
    </w:p>
    <w:p w:rsidR="00795DDD" w:rsidRPr="0018646B" w:rsidRDefault="00CA0B17" w:rsidP="002E2177">
      <w:pPr>
        <w:ind w:left="432" w:hanging="432"/>
        <w:rPr>
          <w:b/>
          <w:color w:val="0000FF"/>
        </w:rPr>
      </w:pPr>
      <w:r w:rsidRPr="0018646B">
        <w:rPr>
          <w:b/>
          <w:color w:val="0000FF"/>
        </w:rPr>
        <w:t>Guideline 2—WHO: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7286"/>
      </w:tblGrid>
      <w:tr w:rsidR="00CA0B17" w:rsidRPr="0018646B" w:rsidTr="00CA0B17">
        <w:trPr>
          <w:trHeight w:val="95"/>
        </w:trPr>
        <w:tc>
          <w:tcPr>
            <w:tcW w:w="1104" w:type="pct"/>
          </w:tcPr>
          <w:p w:rsidR="00CA0B17" w:rsidRPr="0018646B" w:rsidRDefault="00CA0B17" w:rsidP="00CA0B17">
            <w:pPr>
              <w:autoSpaceDE w:val="0"/>
              <w:autoSpaceDN w:val="0"/>
              <w:adjustRightInd w:val="0"/>
              <w:spacing w:line="161" w:lineRule="atLeast"/>
              <w:ind w:left="0" w:firstLine="0"/>
              <w:rPr>
                <w:rFonts w:cs="Frutiger 47LightCn"/>
                <w:color w:val="0000FF"/>
              </w:rPr>
            </w:pPr>
            <w:r w:rsidRPr="0018646B">
              <w:rPr>
                <w:rFonts w:cs="Frutiger 47LightCn"/>
                <w:b/>
                <w:bCs/>
                <w:color w:val="0000FF"/>
              </w:rPr>
              <w:t xml:space="preserve">Quality of evidence </w:t>
            </w:r>
          </w:p>
        </w:tc>
        <w:tc>
          <w:tcPr>
            <w:tcW w:w="3896" w:type="pct"/>
          </w:tcPr>
          <w:p w:rsidR="00CA0B17" w:rsidRPr="0018646B" w:rsidRDefault="00CA0B17" w:rsidP="00CA0B17">
            <w:pPr>
              <w:autoSpaceDE w:val="0"/>
              <w:autoSpaceDN w:val="0"/>
              <w:adjustRightInd w:val="0"/>
              <w:spacing w:line="161" w:lineRule="atLeast"/>
              <w:ind w:left="0" w:firstLine="0"/>
              <w:rPr>
                <w:rFonts w:cs="Frutiger 47LightCn"/>
                <w:color w:val="0000FF"/>
              </w:rPr>
            </w:pPr>
            <w:r w:rsidRPr="0018646B">
              <w:rPr>
                <w:rFonts w:cs="Frutiger 47LightCn"/>
                <w:b/>
                <w:bCs/>
                <w:color w:val="0000FF"/>
              </w:rPr>
              <w:t xml:space="preserve">Definition </w:t>
            </w:r>
          </w:p>
        </w:tc>
      </w:tr>
      <w:tr w:rsidR="00CA0B17" w:rsidRPr="0018646B" w:rsidTr="00CA0B17">
        <w:trPr>
          <w:trHeight w:val="180"/>
        </w:trPr>
        <w:tc>
          <w:tcPr>
            <w:tcW w:w="1104" w:type="pct"/>
          </w:tcPr>
          <w:p w:rsidR="00CA0B17" w:rsidRPr="0018646B" w:rsidRDefault="00CA0B17" w:rsidP="00CA0B17">
            <w:pPr>
              <w:autoSpaceDE w:val="0"/>
              <w:autoSpaceDN w:val="0"/>
              <w:adjustRightInd w:val="0"/>
              <w:spacing w:line="161" w:lineRule="atLeast"/>
              <w:ind w:left="0" w:firstLine="0"/>
              <w:rPr>
                <w:rFonts w:cs="Frutiger 47LightCn"/>
                <w:color w:val="0000FF"/>
              </w:rPr>
            </w:pPr>
            <w:r w:rsidRPr="0018646B">
              <w:rPr>
                <w:rFonts w:cs="Frutiger 47LightCn"/>
                <w:b/>
                <w:bCs/>
                <w:color w:val="0000FF"/>
              </w:rPr>
              <w:t xml:space="preserve">High </w:t>
            </w:r>
          </w:p>
        </w:tc>
        <w:tc>
          <w:tcPr>
            <w:tcW w:w="3896" w:type="pct"/>
          </w:tcPr>
          <w:p w:rsidR="00CA0B17" w:rsidRPr="0018646B" w:rsidRDefault="00CA0B17" w:rsidP="00CA0B17">
            <w:pPr>
              <w:autoSpaceDE w:val="0"/>
              <w:autoSpaceDN w:val="0"/>
              <w:adjustRightInd w:val="0"/>
              <w:spacing w:after="40" w:line="161" w:lineRule="atLeast"/>
              <w:ind w:left="0" w:firstLine="0"/>
              <w:rPr>
                <w:rFonts w:cs="PWPDT M+ Frutiger"/>
                <w:color w:val="0000FF"/>
              </w:rPr>
            </w:pPr>
            <w:r w:rsidRPr="0018646B">
              <w:rPr>
                <w:rFonts w:cs="PWPDT M+ Frutiger"/>
                <w:color w:val="0000FF"/>
              </w:rPr>
              <w:t xml:space="preserve">We are very confident that the true effect lies close to that of the estimate of the effect </w:t>
            </w:r>
          </w:p>
        </w:tc>
      </w:tr>
      <w:tr w:rsidR="00CA0B17" w:rsidRPr="0018646B" w:rsidTr="00CA0B17">
        <w:trPr>
          <w:trHeight w:val="265"/>
        </w:trPr>
        <w:tc>
          <w:tcPr>
            <w:tcW w:w="1104" w:type="pct"/>
          </w:tcPr>
          <w:p w:rsidR="00CA0B17" w:rsidRPr="0018646B" w:rsidRDefault="00CA0B17" w:rsidP="00CA0B17">
            <w:pPr>
              <w:autoSpaceDE w:val="0"/>
              <w:autoSpaceDN w:val="0"/>
              <w:adjustRightInd w:val="0"/>
              <w:spacing w:line="161" w:lineRule="atLeast"/>
              <w:ind w:left="0" w:firstLine="0"/>
              <w:rPr>
                <w:rFonts w:cs="Frutiger 47LightCn"/>
                <w:color w:val="0000FF"/>
              </w:rPr>
            </w:pPr>
            <w:r w:rsidRPr="0018646B">
              <w:rPr>
                <w:rFonts w:cs="Frutiger 47LightCn"/>
                <w:b/>
                <w:bCs/>
                <w:color w:val="0000FF"/>
              </w:rPr>
              <w:t xml:space="preserve">Middle </w:t>
            </w:r>
          </w:p>
        </w:tc>
        <w:tc>
          <w:tcPr>
            <w:tcW w:w="3896" w:type="pct"/>
          </w:tcPr>
          <w:p w:rsidR="00CA0B17" w:rsidRPr="0018646B" w:rsidRDefault="00CA0B17" w:rsidP="00CA0B17">
            <w:pPr>
              <w:autoSpaceDE w:val="0"/>
              <w:autoSpaceDN w:val="0"/>
              <w:adjustRightInd w:val="0"/>
              <w:spacing w:before="40" w:line="161" w:lineRule="atLeast"/>
              <w:ind w:left="0" w:firstLine="0"/>
              <w:rPr>
                <w:rFonts w:cs="PWPDT M+ Frutiger"/>
                <w:color w:val="0000FF"/>
              </w:rPr>
            </w:pPr>
            <w:r w:rsidRPr="0018646B">
              <w:rPr>
                <w:rFonts w:cs="PWPDT M+ Frutiger"/>
                <w:color w:val="0000FF"/>
              </w:rPr>
              <w:t xml:space="preserve">We are moderately confident in the effect estimate: the true effect is likely to be close to the estimate of effect, but there is a possibility that it is substantially different </w:t>
            </w:r>
          </w:p>
        </w:tc>
      </w:tr>
      <w:tr w:rsidR="00CA0B17" w:rsidRPr="0018646B" w:rsidTr="00CA0B17">
        <w:trPr>
          <w:trHeight w:val="180"/>
        </w:trPr>
        <w:tc>
          <w:tcPr>
            <w:tcW w:w="1104" w:type="pct"/>
          </w:tcPr>
          <w:p w:rsidR="00CA0B17" w:rsidRPr="0018646B" w:rsidRDefault="00CA0B17" w:rsidP="00CA0B17">
            <w:pPr>
              <w:autoSpaceDE w:val="0"/>
              <w:autoSpaceDN w:val="0"/>
              <w:adjustRightInd w:val="0"/>
              <w:spacing w:line="161" w:lineRule="atLeast"/>
              <w:ind w:left="0" w:firstLine="0"/>
              <w:rPr>
                <w:rFonts w:cs="Frutiger 47LightCn"/>
                <w:color w:val="0000FF"/>
              </w:rPr>
            </w:pPr>
            <w:r w:rsidRPr="0018646B">
              <w:rPr>
                <w:rFonts w:cs="Frutiger 47LightCn"/>
                <w:b/>
                <w:bCs/>
                <w:color w:val="0000FF"/>
              </w:rPr>
              <w:t xml:space="preserve">Low </w:t>
            </w:r>
          </w:p>
        </w:tc>
        <w:tc>
          <w:tcPr>
            <w:tcW w:w="3896" w:type="pct"/>
          </w:tcPr>
          <w:p w:rsidR="00CA0B17" w:rsidRPr="0018646B" w:rsidRDefault="00CA0B17" w:rsidP="00CA0B17">
            <w:pPr>
              <w:autoSpaceDE w:val="0"/>
              <w:autoSpaceDN w:val="0"/>
              <w:adjustRightInd w:val="0"/>
              <w:spacing w:before="40" w:line="161" w:lineRule="atLeast"/>
              <w:ind w:left="0" w:firstLine="0"/>
              <w:rPr>
                <w:rFonts w:cs="PWPDT M+ Frutiger"/>
                <w:color w:val="0000FF"/>
              </w:rPr>
            </w:pPr>
            <w:r w:rsidRPr="0018646B">
              <w:rPr>
                <w:rFonts w:cs="PWPDT M+ Frutiger"/>
                <w:color w:val="0000FF"/>
              </w:rPr>
              <w:t xml:space="preserve">Our confidence in the effect estimate is limited: the true effect may be substantially different from the estimate of the effect </w:t>
            </w:r>
          </w:p>
        </w:tc>
      </w:tr>
      <w:tr w:rsidR="00CA0B17" w:rsidRPr="0018646B" w:rsidTr="00CA0B17">
        <w:trPr>
          <w:trHeight w:val="180"/>
        </w:trPr>
        <w:tc>
          <w:tcPr>
            <w:tcW w:w="1104" w:type="pct"/>
          </w:tcPr>
          <w:p w:rsidR="00CA0B17" w:rsidRPr="0018646B" w:rsidRDefault="00CA0B17" w:rsidP="00CA0B17">
            <w:pPr>
              <w:autoSpaceDE w:val="0"/>
              <w:autoSpaceDN w:val="0"/>
              <w:adjustRightInd w:val="0"/>
              <w:spacing w:line="161" w:lineRule="atLeast"/>
              <w:ind w:left="0" w:firstLine="0"/>
              <w:rPr>
                <w:rFonts w:cs="Frutiger 47LightCn"/>
                <w:color w:val="0000FF"/>
              </w:rPr>
            </w:pPr>
            <w:r w:rsidRPr="0018646B">
              <w:rPr>
                <w:rFonts w:cs="Frutiger 47LightCn"/>
                <w:b/>
                <w:bCs/>
                <w:color w:val="0000FF"/>
              </w:rPr>
              <w:t xml:space="preserve">Very low </w:t>
            </w:r>
          </w:p>
        </w:tc>
        <w:tc>
          <w:tcPr>
            <w:tcW w:w="3896" w:type="pct"/>
          </w:tcPr>
          <w:p w:rsidR="00CA0B17" w:rsidRPr="0018646B" w:rsidRDefault="00CA0B17" w:rsidP="00CA0B17">
            <w:pPr>
              <w:autoSpaceDE w:val="0"/>
              <w:autoSpaceDN w:val="0"/>
              <w:adjustRightInd w:val="0"/>
              <w:spacing w:before="40" w:line="161" w:lineRule="atLeast"/>
              <w:ind w:left="0" w:firstLine="0"/>
              <w:rPr>
                <w:rFonts w:cs="PWPDT M+ Frutiger"/>
                <w:color w:val="0000FF"/>
              </w:rPr>
            </w:pPr>
            <w:r w:rsidRPr="0018646B">
              <w:rPr>
                <w:rFonts w:cs="PWPDT M+ Frutiger"/>
                <w:color w:val="0000FF"/>
              </w:rPr>
              <w:t>We have very little confidence in the effect estimate: the true effect is likely to be substantially different from the estimate of the effect</w:t>
            </w:r>
          </w:p>
        </w:tc>
      </w:tr>
    </w:tbl>
    <w:p w:rsidR="00CA0B17" w:rsidRPr="0018646B" w:rsidRDefault="00CA0B17" w:rsidP="002E2177">
      <w:pPr>
        <w:ind w:left="432" w:hanging="432"/>
        <w:rPr>
          <w:b/>
          <w:color w:val="0000FF"/>
        </w:rPr>
      </w:pPr>
    </w:p>
    <w:p w:rsidR="00CA0B17" w:rsidRPr="0018646B" w:rsidRDefault="00CA0B17" w:rsidP="00CA0B17">
      <w:pPr>
        <w:autoSpaceDE w:val="0"/>
        <w:autoSpaceDN w:val="0"/>
        <w:adjustRightInd w:val="0"/>
        <w:spacing w:before="40" w:after="80" w:line="221" w:lineRule="atLeast"/>
        <w:ind w:left="760" w:hanging="760"/>
        <w:rPr>
          <w:rFonts w:cs="PWPDT M+ Trade Gothic"/>
          <w:color w:val="0000FF"/>
        </w:rPr>
      </w:pPr>
      <w:r w:rsidRPr="0018646B">
        <w:rPr>
          <w:rFonts w:cs="PWPDT M+ Trade Gothic"/>
          <w:b/>
          <w:bCs/>
          <w:color w:val="0000FF"/>
        </w:rPr>
        <w:t xml:space="preserve">Strength of the recommendations </w:t>
      </w:r>
    </w:p>
    <w:p w:rsidR="00CA0B17" w:rsidRPr="0018646B" w:rsidRDefault="00CA0B17" w:rsidP="00CA0B17">
      <w:pPr>
        <w:autoSpaceDE w:val="0"/>
        <w:autoSpaceDN w:val="0"/>
        <w:adjustRightInd w:val="0"/>
        <w:spacing w:after="160" w:line="201" w:lineRule="atLeast"/>
        <w:ind w:left="0" w:firstLine="0"/>
        <w:rPr>
          <w:rFonts w:cs="PWPDT M+ Frutiger"/>
          <w:color w:val="0000FF"/>
        </w:rPr>
      </w:pPr>
      <w:r w:rsidRPr="0018646B">
        <w:rPr>
          <w:rFonts w:cs="PWPDT M+ Frutiger"/>
          <w:color w:val="0000FF"/>
        </w:rPr>
        <w:t xml:space="preserve">The strength of a recommendation can be either strong or conditional. </w:t>
      </w:r>
    </w:p>
    <w:p w:rsidR="00CA0B17" w:rsidRPr="0018646B" w:rsidRDefault="00CA0B17" w:rsidP="00CA0B17">
      <w:pPr>
        <w:autoSpaceDE w:val="0"/>
        <w:autoSpaceDN w:val="0"/>
        <w:adjustRightInd w:val="0"/>
        <w:spacing w:after="160" w:line="201" w:lineRule="atLeast"/>
        <w:ind w:left="0" w:firstLine="0"/>
        <w:rPr>
          <w:rFonts w:cs="PWPDT M+ Frutiger"/>
          <w:color w:val="0000FF"/>
        </w:rPr>
      </w:pPr>
      <w:r w:rsidRPr="0018646B">
        <w:rPr>
          <w:rFonts w:cs="Frutiger 47LightCn"/>
          <w:b/>
          <w:bCs/>
          <w:color w:val="0000FF"/>
        </w:rPr>
        <w:t xml:space="preserve">A strong recommendation </w:t>
      </w:r>
      <w:r w:rsidRPr="0018646B">
        <w:rPr>
          <w:rFonts w:cs="PWPDT M+ Frutiger"/>
          <w:color w:val="0000FF"/>
        </w:rPr>
        <w:t xml:space="preserve">is one for which there is confidence that the desirable effects of adherence to the recommendation clearly outweigh the undesirable effects. </w:t>
      </w:r>
    </w:p>
    <w:p w:rsidR="00795DDD" w:rsidRPr="0018646B" w:rsidRDefault="00CA0B17" w:rsidP="00CA0B17">
      <w:pPr>
        <w:ind w:left="432" w:hanging="432"/>
        <w:rPr>
          <w:b/>
          <w:color w:val="0000FF"/>
        </w:rPr>
      </w:pPr>
      <w:r w:rsidRPr="0018646B">
        <w:rPr>
          <w:rFonts w:cs="Frutiger 47LightCn"/>
          <w:b/>
          <w:bCs/>
          <w:color w:val="0000FF"/>
        </w:rPr>
        <w:t xml:space="preserve">A conditional recommendation </w:t>
      </w:r>
      <w:r w:rsidRPr="0018646B">
        <w:rPr>
          <w:rFonts w:cs="PWPDT M+ Frutiger"/>
          <w:color w:val="0000FF"/>
        </w:rPr>
        <w:t>is one for which the Guideline Development Group concludes that the desirable effects of adherence to the recommendation probably outweigh the undesirable effects or are closely balanced, but the Groups are not confident about these trade-offs in all situations. At implementation, monitoring and rigorous evaluation is needed to address these uncertainties, which are likely to provide new evidence that may change the calculation of the balance of trade-offs and to suggest how to overcome any implementation challenges.</w:t>
      </w:r>
    </w:p>
    <w:p w:rsidR="00795DDD" w:rsidRPr="0018646B" w:rsidRDefault="00795DDD" w:rsidP="002E2177">
      <w:pPr>
        <w:ind w:left="432" w:hanging="432"/>
        <w:rPr>
          <w:b/>
          <w:color w:val="0000FF"/>
        </w:rPr>
      </w:pPr>
    </w:p>
    <w:p w:rsidR="00A12762" w:rsidRPr="0018646B" w:rsidRDefault="00776F6D" w:rsidP="002E2177">
      <w:pPr>
        <w:ind w:left="432" w:hanging="432"/>
        <w:rPr>
          <w:b/>
          <w:color w:val="0000FF"/>
        </w:rPr>
      </w:pPr>
      <w:r w:rsidRPr="0018646B">
        <w:rPr>
          <w:b/>
          <w:color w:val="0000FF"/>
        </w:rPr>
        <w:t>1a.4.5</w:t>
      </w:r>
      <w:r w:rsidR="00A12762" w:rsidRPr="0018646B">
        <w:rPr>
          <w:b/>
          <w:color w:val="0000FF"/>
        </w:rPr>
        <w:t>.</w:t>
      </w:r>
      <w:r w:rsidR="00A12762" w:rsidRPr="0018646B">
        <w:rPr>
          <w:b/>
          <w:color w:val="17365D" w:themeColor="text2" w:themeShade="BF"/>
        </w:rPr>
        <w:t xml:space="preserve"> </w:t>
      </w:r>
      <w:r w:rsidR="00030F43" w:rsidRPr="0018646B">
        <w:rPr>
          <w:b/>
        </w:rPr>
        <w:t xml:space="preserve">Citation and </w:t>
      </w:r>
      <w:r w:rsidR="00A12762" w:rsidRPr="0018646B">
        <w:rPr>
          <w:b/>
        </w:rPr>
        <w:t>URL for methodology for grading</w:t>
      </w:r>
      <w:r w:rsidR="00965FF6" w:rsidRPr="0018646B">
        <w:rPr>
          <w:b/>
        </w:rPr>
        <w:t xml:space="preserve"> recommendati</w:t>
      </w:r>
      <w:r w:rsidRPr="0018646B">
        <w:rPr>
          <w:b/>
        </w:rPr>
        <w:t>o</w:t>
      </w:r>
      <w:r w:rsidR="00965FF6" w:rsidRPr="0018646B">
        <w:rPr>
          <w:b/>
        </w:rPr>
        <w:t>ns</w:t>
      </w:r>
      <w:r w:rsidR="00A12762" w:rsidRPr="0018646B">
        <w:rPr>
          <w:b/>
        </w:rPr>
        <w:t xml:space="preserve"> </w:t>
      </w:r>
      <w:r w:rsidR="00A12762" w:rsidRPr="0018646B">
        <w:t>(</w:t>
      </w:r>
      <w:r w:rsidR="00A12762" w:rsidRPr="0018646B">
        <w:rPr>
          <w:i/>
        </w:rPr>
        <w:t xml:space="preserve">if </w:t>
      </w:r>
      <w:r w:rsidR="00AD79C8" w:rsidRPr="0018646B">
        <w:rPr>
          <w:i/>
        </w:rPr>
        <w:t>different from 1a.4.</w:t>
      </w:r>
      <w:r w:rsidR="00030F43" w:rsidRPr="0018646B">
        <w:rPr>
          <w:i/>
        </w:rPr>
        <w:t>1</w:t>
      </w:r>
      <w:r w:rsidR="00A12762" w:rsidRPr="0018646B">
        <w:t>)</w:t>
      </w:r>
      <w:r w:rsidRPr="0018646B">
        <w:rPr>
          <w:b/>
        </w:rPr>
        <w:t>:</w:t>
      </w:r>
    </w:p>
    <w:p w:rsidR="00736AEC" w:rsidRPr="0018646B" w:rsidRDefault="00102D2D" w:rsidP="002E2177">
      <w:pPr>
        <w:ind w:left="432" w:hanging="432"/>
        <w:rPr>
          <w:color w:val="000000" w:themeColor="text1"/>
        </w:rPr>
      </w:pPr>
      <w:r w:rsidRPr="0018646B">
        <w:rPr>
          <w:color w:val="000000" w:themeColor="text1"/>
        </w:rPr>
        <w:t xml:space="preserve">Not applicable </w:t>
      </w:r>
    </w:p>
    <w:p w:rsidR="00736AEC" w:rsidRPr="0018646B" w:rsidRDefault="00736AEC" w:rsidP="002E2177">
      <w:pPr>
        <w:ind w:left="432" w:hanging="432"/>
        <w:rPr>
          <w:b/>
          <w:highlight w:val="yellow"/>
        </w:rPr>
      </w:pPr>
      <w:r w:rsidRPr="0018646B">
        <w:rPr>
          <w:b/>
          <w:color w:val="0000FF"/>
          <w:highlight w:val="yellow"/>
        </w:rPr>
        <w:t>1</w:t>
      </w:r>
      <w:r w:rsidR="00773485" w:rsidRPr="0018646B">
        <w:rPr>
          <w:b/>
          <w:color w:val="0000FF"/>
          <w:highlight w:val="yellow"/>
        </w:rPr>
        <w:t>a</w:t>
      </w:r>
      <w:r w:rsidRPr="0018646B">
        <w:rPr>
          <w:b/>
          <w:color w:val="0000FF"/>
          <w:highlight w:val="yellow"/>
        </w:rPr>
        <w:t>.4.</w:t>
      </w:r>
      <w:r w:rsidR="00776F6D" w:rsidRPr="0018646B">
        <w:rPr>
          <w:b/>
          <w:color w:val="0000FF"/>
          <w:highlight w:val="yellow"/>
        </w:rPr>
        <w:t>6</w:t>
      </w:r>
      <w:r w:rsidR="00CB06C9" w:rsidRPr="0018646B">
        <w:rPr>
          <w:b/>
          <w:highlight w:val="yellow"/>
        </w:rPr>
        <w:t>.</w:t>
      </w:r>
      <w:r w:rsidRPr="0018646B">
        <w:rPr>
          <w:b/>
          <w:highlight w:val="yellow"/>
        </w:rPr>
        <w:t xml:space="preserve"> </w:t>
      </w:r>
      <w:r w:rsidR="00162036" w:rsidRPr="0018646B">
        <w:rPr>
          <w:b/>
          <w:highlight w:val="yellow"/>
        </w:rPr>
        <w:t>If guideline is evidence-based (rather than expert opinion), a</w:t>
      </w:r>
      <w:r w:rsidRPr="0018646B">
        <w:rPr>
          <w:b/>
          <w:highlight w:val="yellow"/>
        </w:rPr>
        <w:t xml:space="preserve">re the details of </w:t>
      </w:r>
      <w:r w:rsidR="00162036" w:rsidRPr="0018646B">
        <w:rPr>
          <w:b/>
          <w:highlight w:val="yellow"/>
        </w:rPr>
        <w:t xml:space="preserve">the </w:t>
      </w:r>
      <w:r w:rsidRPr="0018646B">
        <w:rPr>
          <w:b/>
          <w:highlight w:val="yellow"/>
        </w:rPr>
        <w:t>quantity, quality, and consistency of the body of evidence available</w:t>
      </w:r>
      <w:r w:rsidR="00162036" w:rsidRPr="0018646B">
        <w:rPr>
          <w:b/>
          <w:highlight w:val="yellow"/>
        </w:rPr>
        <w:t xml:space="preserve"> (e.g., evidence tables)</w:t>
      </w:r>
      <w:r w:rsidRPr="0018646B">
        <w:rPr>
          <w:b/>
          <w:highlight w:val="yellow"/>
        </w:rPr>
        <w:t>?</w:t>
      </w:r>
    </w:p>
    <w:p w:rsidR="00FC32D3" w:rsidRPr="0018646B" w:rsidRDefault="008D348D" w:rsidP="00FC32D3">
      <w:pPr>
        <w:ind w:left="720" w:hanging="432"/>
        <w:rPr>
          <w:b/>
        </w:rPr>
      </w:pPr>
      <w:sdt>
        <w:sdtPr>
          <w:rPr>
            <w:bCs/>
            <w:color w:val="0000FF"/>
            <w:highlight w:val="yellow"/>
          </w:rPr>
          <w:id w:val="-1346319738"/>
          <w14:checkbox>
            <w14:checked w14:val="1"/>
            <w14:checkedState w14:val="2612" w14:font="MS Gothic"/>
            <w14:uncheckedState w14:val="2610" w14:font="MS Gothic"/>
          </w14:checkbox>
        </w:sdtPr>
        <w:sdtEndPr/>
        <w:sdtContent>
          <w:r w:rsidR="001209EC" w:rsidRPr="0018646B">
            <w:rPr>
              <w:rFonts w:ascii="Segoe UI Symbol" w:eastAsia="MS Gothic" w:hAnsi="Segoe UI Symbol" w:cs="Segoe UI Symbol"/>
              <w:bCs/>
              <w:color w:val="0000FF"/>
              <w:highlight w:val="yellow"/>
            </w:rPr>
            <w:t>☒</w:t>
          </w:r>
        </w:sdtContent>
      </w:sdt>
      <w:r w:rsidR="00FC32D3" w:rsidRPr="0018646B">
        <w:rPr>
          <w:b/>
          <w:highlight w:val="yellow"/>
        </w:rPr>
        <w:t xml:space="preserve"> </w:t>
      </w:r>
      <w:r w:rsidR="00FC32D3" w:rsidRPr="0018646B">
        <w:rPr>
          <w:highlight w:val="yellow"/>
        </w:rPr>
        <w:t>Yes</w:t>
      </w:r>
      <w:r w:rsidR="00FC32D3" w:rsidRPr="0018646B">
        <w:rPr>
          <w:b/>
          <w:highlight w:val="yellow"/>
        </w:rPr>
        <w:t xml:space="preserve"> </w:t>
      </w:r>
      <w:r w:rsidR="00FC32D3" w:rsidRPr="0018646B">
        <w:rPr>
          <w:rFonts w:cstheme="minorHAnsi"/>
          <w:b/>
          <w:highlight w:val="yellow"/>
        </w:rPr>
        <w:t>→</w:t>
      </w:r>
      <w:r w:rsidR="00FC32D3" w:rsidRPr="0018646B">
        <w:rPr>
          <w:b/>
          <w:highlight w:val="yellow"/>
        </w:rPr>
        <w:t xml:space="preserve"> </w:t>
      </w:r>
      <w:r w:rsidR="00FC32D3" w:rsidRPr="0018646B">
        <w:rPr>
          <w:b/>
          <w:i/>
          <w:highlight w:val="yellow"/>
        </w:rPr>
        <w:t xml:space="preserve">complete section </w:t>
      </w:r>
      <w:hyperlink w:anchor="Section1a7" w:history="1">
        <w:r w:rsidR="00FC32D3" w:rsidRPr="0018646B">
          <w:rPr>
            <w:rStyle w:val="Hyperlink"/>
            <w:b/>
            <w:i/>
            <w:highlight w:val="yellow"/>
          </w:rPr>
          <w:t>1a.7</w:t>
        </w:r>
      </w:hyperlink>
    </w:p>
    <w:p w:rsidR="00736AEC" w:rsidRPr="0018646B" w:rsidRDefault="008D348D"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18646B">
            <w:rPr>
              <w:rFonts w:ascii="Segoe UI Symbol" w:eastAsia="MS Gothic" w:hAnsi="Segoe UI Symbol" w:cs="Segoe UI Symbol"/>
              <w:bCs/>
              <w:color w:val="0000FF"/>
            </w:rPr>
            <w:t>☐</w:t>
          </w:r>
        </w:sdtContent>
      </w:sdt>
      <w:r w:rsidR="00736AEC" w:rsidRPr="0018646B">
        <w:rPr>
          <w:b/>
        </w:rPr>
        <w:t xml:space="preserve"> </w:t>
      </w:r>
      <w:r w:rsidR="00736AEC" w:rsidRPr="0018646B">
        <w:t>No</w:t>
      </w:r>
      <w:r w:rsidR="00307FA5" w:rsidRPr="0018646B">
        <w:t xml:space="preserve">  </w:t>
      </w:r>
      <w:r w:rsidR="007C1887" w:rsidRPr="0018646B">
        <w:rPr>
          <w:rFonts w:cstheme="minorHAnsi"/>
          <w:b/>
          <w:highlight w:val="green"/>
        </w:rPr>
        <w:t>→</w:t>
      </w:r>
      <w:r w:rsidR="0087564A" w:rsidRPr="0018646B">
        <w:rPr>
          <w:rFonts w:cstheme="minorHAnsi"/>
          <w:b/>
          <w:highlight w:val="green"/>
        </w:rPr>
        <w:t xml:space="preserve"> </w:t>
      </w:r>
      <w:r w:rsidR="0087564A" w:rsidRPr="0018646B">
        <w:rPr>
          <w:rStyle w:val="Hyperlink"/>
          <w:b/>
          <w:i/>
          <w:color w:val="auto"/>
          <w:highlight w:val="green"/>
          <w:u w:val="none"/>
        </w:rPr>
        <w:t>report on another systematic review</w:t>
      </w:r>
      <w:r w:rsidR="00701CC3" w:rsidRPr="0018646B">
        <w:rPr>
          <w:rStyle w:val="Hyperlink"/>
          <w:b/>
          <w:i/>
          <w:color w:val="auto"/>
          <w:highlight w:val="green"/>
          <w:u w:val="none"/>
        </w:rPr>
        <w:t xml:space="preserve"> of the evidence</w:t>
      </w:r>
      <w:r w:rsidR="0087564A" w:rsidRPr="0018646B">
        <w:rPr>
          <w:rStyle w:val="Hyperlink"/>
          <w:b/>
          <w:i/>
          <w:color w:val="auto"/>
          <w:highlight w:val="green"/>
          <w:u w:val="none"/>
        </w:rPr>
        <w:t xml:space="preserve"> in</w:t>
      </w:r>
      <w:r w:rsidR="0098657F" w:rsidRPr="0018646B">
        <w:rPr>
          <w:rStyle w:val="Hyperlink"/>
          <w:b/>
          <w:i/>
          <w:color w:val="auto"/>
          <w:highlight w:val="green"/>
          <w:u w:val="none"/>
        </w:rPr>
        <w:t xml:space="preserve"> sections</w:t>
      </w:r>
      <w:r w:rsidR="0087564A" w:rsidRPr="0018646B">
        <w:rPr>
          <w:rStyle w:val="Hyperlink"/>
          <w:b/>
          <w:i/>
          <w:color w:val="auto"/>
          <w:highlight w:val="green"/>
          <w:u w:val="none"/>
        </w:rPr>
        <w:t xml:space="preserve"> </w:t>
      </w:r>
      <w:hyperlink w:anchor="Section1a6" w:history="1">
        <w:r w:rsidR="0087564A" w:rsidRPr="0018646B">
          <w:rPr>
            <w:rStyle w:val="Hyperlink"/>
            <w:b/>
            <w:i/>
            <w:highlight w:val="green"/>
          </w:rPr>
          <w:t>1a.6</w:t>
        </w:r>
      </w:hyperlink>
      <w:r w:rsidR="0087564A" w:rsidRPr="0018646B">
        <w:rPr>
          <w:rStyle w:val="Hyperlink"/>
          <w:b/>
          <w:i/>
          <w:color w:val="auto"/>
          <w:highlight w:val="green"/>
          <w:u w:val="none"/>
        </w:rPr>
        <w:t xml:space="preserve"> and </w:t>
      </w:r>
      <w:hyperlink w:anchor="Section1a7" w:history="1">
        <w:r w:rsidR="0087564A" w:rsidRPr="0018646B">
          <w:rPr>
            <w:rStyle w:val="Hyperlink"/>
            <w:b/>
            <w:i/>
            <w:highlight w:val="green"/>
          </w:rPr>
          <w:t>1a.7</w:t>
        </w:r>
      </w:hyperlink>
      <w:r w:rsidR="00701CC3" w:rsidRPr="0018646B">
        <w:rPr>
          <w:rStyle w:val="Hyperlink"/>
          <w:b/>
          <w:i/>
          <w:color w:val="auto"/>
          <w:highlight w:val="green"/>
          <w:u w:val="none"/>
        </w:rPr>
        <w:t>;</w:t>
      </w:r>
      <w:r w:rsidR="0087564A" w:rsidRPr="0018646B">
        <w:rPr>
          <w:rStyle w:val="Hyperlink"/>
          <w:b/>
          <w:i/>
          <w:color w:val="auto"/>
          <w:highlight w:val="green"/>
          <w:u w:val="none"/>
        </w:rPr>
        <w:t xml:space="preserve"> </w:t>
      </w:r>
      <w:r w:rsidR="00B74629" w:rsidRPr="0018646B">
        <w:rPr>
          <w:rStyle w:val="Hyperlink"/>
          <w:b/>
          <w:i/>
          <w:color w:val="auto"/>
          <w:highlight w:val="green"/>
          <w:u w:val="none"/>
        </w:rPr>
        <w:t xml:space="preserve">if </w:t>
      </w:r>
      <w:r w:rsidR="00063601" w:rsidRPr="0018646B">
        <w:rPr>
          <w:rStyle w:val="Hyperlink"/>
          <w:b/>
          <w:i/>
          <w:color w:val="auto"/>
          <w:highlight w:val="green"/>
          <w:u w:val="none"/>
        </w:rPr>
        <w:t xml:space="preserve">another review </w:t>
      </w:r>
      <w:r w:rsidR="00B74629" w:rsidRPr="0018646B">
        <w:rPr>
          <w:rStyle w:val="Hyperlink"/>
          <w:b/>
          <w:i/>
          <w:color w:val="auto"/>
          <w:highlight w:val="green"/>
          <w:u w:val="none"/>
        </w:rPr>
        <w:t xml:space="preserve">does not exist, </w:t>
      </w:r>
      <w:r w:rsidR="00923295" w:rsidRPr="0018646B">
        <w:rPr>
          <w:rFonts w:cstheme="minorHAnsi"/>
          <w:b/>
          <w:i/>
          <w:highlight w:val="green"/>
        </w:rPr>
        <w:t xml:space="preserve">provide what is known </w:t>
      </w:r>
      <w:r w:rsidR="00701CC3" w:rsidRPr="0018646B">
        <w:rPr>
          <w:rFonts w:cstheme="minorHAnsi"/>
          <w:b/>
          <w:i/>
          <w:highlight w:val="green"/>
        </w:rPr>
        <w:t xml:space="preserve">from the guideline review of evidence </w:t>
      </w:r>
      <w:r w:rsidR="00923295" w:rsidRPr="0018646B">
        <w:rPr>
          <w:rFonts w:cstheme="minorHAnsi"/>
          <w:b/>
          <w:i/>
          <w:highlight w:val="green"/>
        </w:rPr>
        <w:t xml:space="preserve">in </w:t>
      </w:r>
      <w:hyperlink w:anchor="Section1a7" w:history="1">
        <w:r w:rsidR="009477D6" w:rsidRPr="0018646B">
          <w:rPr>
            <w:rStyle w:val="Hyperlink"/>
            <w:b/>
            <w:i/>
            <w:highlight w:val="green"/>
          </w:rPr>
          <w:t>1a.7</w:t>
        </w:r>
      </w:hyperlink>
    </w:p>
    <w:p w:rsidR="00736AEC" w:rsidRPr="0018646B" w:rsidRDefault="00736AEC" w:rsidP="00736AEC">
      <w:pPr>
        <w:rPr>
          <w:b/>
        </w:rPr>
      </w:pPr>
    </w:p>
    <w:p w:rsidR="00EE5AF6" w:rsidRPr="0018646B" w:rsidRDefault="00925F11" w:rsidP="00307FA5">
      <w:pPr>
        <w:ind w:left="0" w:firstLine="0"/>
        <w:rPr>
          <w:color w:val="0000FF"/>
        </w:rPr>
      </w:pPr>
      <w:r w:rsidRPr="0018646B">
        <w:rPr>
          <w:b/>
          <w:iCs/>
          <w:caps/>
        </w:rPr>
        <w:t>_________________________</w:t>
      </w:r>
    </w:p>
    <w:p w:rsidR="00EE5AF6" w:rsidRPr="0018646B" w:rsidRDefault="00EE5AF6" w:rsidP="00307FA5">
      <w:pPr>
        <w:ind w:left="0" w:firstLine="0"/>
        <w:rPr>
          <w:color w:val="0000FF"/>
        </w:rPr>
      </w:pPr>
      <w:bookmarkStart w:id="7" w:name="Section1a5"/>
      <w:bookmarkEnd w:id="7"/>
      <w:r w:rsidRPr="0018646B">
        <w:rPr>
          <w:b/>
          <w:color w:val="0000FF"/>
        </w:rPr>
        <w:t>1</w:t>
      </w:r>
      <w:r w:rsidR="00773485" w:rsidRPr="0018646B">
        <w:rPr>
          <w:b/>
          <w:color w:val="0000FF"/>
        </w:rPr>
        <w:t>a</w:t>
      </w:r>
      <w:r w:rsidRPr="0018646B">
        <w:rPr>
          <w:b/>
          <w:color w:val="0000FF"/>
        </w:rPr>
        <w:t>.5</w:t>
      </w:r>
      <w:r w:rsidR="00201FF9" w:rsidRPr="0018646B">
        <w:rPr>
          <w:b/>
          <w:color w:val="0000FF"/>
        </w:rPr>
        <w:t>.</w:t>
      </w:r>
      <w:r w:rsidRPr="0018646B">
        <w:rPr>
          <w:color w:val="0000FF"/>
        </w:rPr>
        <w:t xml:space="preserve"> </w:t>
      </w:r>
      <w:r w:rsidRPr="0018646B">
        <w:rPr>
          <w:b/>
        </w:rPr>
        <w:t>U</w:t>
      </w:r>
      <w:r w:rsidR="0094689F" w:rsidRPr="0018646B">
        <w:rPr>
          <w:b/>
        </w:rPr>
        <w:t>NITED STATES</w:t>
      </w:r>
      <w:r w:rsidRPr="0018646B">
        <w:rPr>
          <w:b/>
        </w:rPr>
        <w:t xml:space="preserve"> PREVENTIVE SERVICES TASK FORCE RECOMMENDATION</w:t>
      </w:r>
    </w:p>
    <w:p w:rsidR="00307FA5" w:rsidRPr="0018646B" w:rsidRDefault="00307FA5" w:rsidP="00307FA5">
      <w:pPr>
        <w:ind w:left="0" w:firstLine="0"/>
      </w:pPr>
      <w:r w:rsidRPr="0018646B">
        <w:rPr>
          <w:b/>
          <w:color w:val="0000FF"/>
        </w:rPr>
        <w:t>1</w:t>
      </w:r>
      <w:r w:rsidR="009E37BD" w:rsidRPr="0018646B">
        <w:rPr>
          <w:b/>
          <w:color w:val="0000FF"/>
        </w:rPr>
        <w:t>a</w:t>
      </w:r>
      <w:r w:rsidRPr="0018646B">
        <w:rPr>
          <w:b/>
          <w:color w:val="0000FF"/>
        </w:rPr>
        <w:t>.5.1.</w:t>
      </w:r>
      <w:r w:rsidRPr="0018646B">
        <w:t xml:space="preserve"> </w:t>
      </w:r>
      <w:r w:rsidR="00E746A2" w:rsidRPr="0018646B">
        <w:rPr>
          <w:b/>
        </w:rPr>
        <w:t>Recommendation</w:t>
      </w:r>
      <w:r w:rsidRPr="0018646B">
        <w:rPr>
          <w:b/>
        </w:rPr>
        <w:t xml:space="preserve"> citation</w:t>
      </w:r>
      <w:r w:rsidRPr="0018646B">
        <w:t xml:space="preserve"> (</w:t>
      </w:r>
      <w:r w:rsidRPr="0018646B">
        <w:rPr>
          <w:i/>
        </w:rPr>
        <w:t>including date</w:t>
      </w:r>
      <w:r w:rsidRPr="0018646B">
        <w:t>)</w:t>
      </w:r>
      <w:r w:rsidR="00EA79C9" w:rsidRPr="0018646B">
        <w:t xml:space="preserve"> and </w:t>
      </w:r>
      <w:r w:rsidR="00EA79C9" w:rsidRPr="0018646B">
        <w:rPr>
          <w:b/>
        </w:rPr>
        <w:t>URL for recommendation</w:t>
      </w:r>
      <w:r w:rsidR="00EA79C9" w:rsidRPr="0018646B">
        <w:t xml:space="preserve"> (</w:t>
      </w:r>
      <w:r w:rsidR="00EA79C9" w:rsidRPr="0018646B">
        <w:rPr>
          <w:i/>
        </w:rPr>
        <w:t>if available online</w:t>
      </w:r>
      <w:r w:rsidR="00EA79C9" w:rsidRPr="0018646B">
        <w:t xml:space="preserve">): </w:t>
      </w:r>
      <w:r w:rsidRPr="0018646B">
        <w:t xml:space="preserve"> </w:t>
      </w:r>
    </w:p>
    <w:p w:rsidR="00307FA5" w:rsidRPr="0018646B" w:rsidRDefault="00307FA5" w:rsidP="00307FA5">
      <w:pPr>
        <w:ind w:left="0" w:firstLine="0"/>
        <w:rPr>
          <w:rFonts w:cs="Arial"/>
        </w:rPr>
      </w:pPr>
    </w:p>
    <w:p w:rsidR="00307FA5" w:rsidRPr="0018646B" w:rsidRDefault="00307FA5" w:rsidP="00307FA5">
      <w:pPr>
        <w:ind w:left="0" w:firstLine="0"/>
      </w:pPr>
    </w:p>
    <w:p w:rsidR="00307FA5" w:rsidRPr="0018646B" w:rsidRDefault="00307FA5" w:rsidP="00307FA5">
      <w:pPr>
        <w:ind w:left="0" w:firstLine="0"/>
      </w:pPr>
      <w:r w:rsidRPr="0018646B">
        <w:rPr>
          <w:b/>
          <w:color w:val="0000FF"/>
        </w:rPr>
        <w:t>1</w:t>
      </w:r>
      <w:r w:rsidR="009E37BD" w:rsidRPr="0018646B">
        <w:rPr>
          <w:b/>
          <w:color w:val="0000FF"/>
        </w:rPr>
        <w:t>a</w:t>
      </w:r>
      <w:r w:rsidR="00EA79C9" w:rsidRPr="0018646B">
        <w:rPr>
          <w:b/>
          <w:color w:val="0000FF"/>
        </w:rPr>
        <w:t>.5.2</w:t>
      </w:r>
      <w:r w:rsidRPr="0018646B">
        <w:rPr>
          <w:b/>
          <w:color w:val="0000FF"/>
        </w:rPr>
        <w:t>.</w:t>
      </w:r>
      <w:r w:rsidRPr="0018646B">
        <w:t xml:space="preserve"> </w:t>
      </w:r>
      <w:r w:rsidRPr="0018646B">
        <w:rPr>
          <w:b/>
        </w:rPr>
        <w:t xml:space="preserve">Identify </w:t>
      </w:r>
      <w:r w:rsidR="00EE5AF6" w:rsidRPr="0018646B">
        <w:rPr>
          <w:b/>
        </w:rPr>
        <w:t>recommendation</w:t>
      </w:r>
      <w:r w:rsidRPr="0018646B">
        <w:rPr>
          <w:b/>
        </w:rPr>
        <w:t xml:space="preserve"> number and/or page number</w:t>
      </w:r>
      <w:r w:rsidRPr="0018646B">
        <w:t xml:space="preserve"> </w:t>
      </w:r>
      <w:r w:rsidR="00EA79C9" w:rsidRPr="0018646B">
        <w:t xml:space="preserve">and </w:t>
      </w:r>
      <w:r w:rsidR="00C54E40" w:rsidRPr="0018646B">
        <w:rPr>
          <w:b/>
        </w:rPr>
        <w:t>q</w:t>
      </w:r>
      <w:r w:rsidR="00EA79C9" w:rsidRPr="0018646B">
        <w:rPr>
          <w:b/>
        </w:rPr>
        <w:t>uote verbatim, the specific recommendation</w:t>
      </w:r>
      <w:r w:rsidR="00C54E40" w:rsidRPr="0018646B">
        <w:t>.</w:t>
      </w:r>
    </w:p>
    <w:p w:rsidR="00307FA5" w:rsidRPr="0018646B" w:rsidRDefault="00307FA5" w:rsidP="00307FA5">
      <w:pPr>
        <w:ind w:left="0" w:firstLine="0"/>
      </w:pPr>
    </w:p>
    <w:p w:rsidR="00307FA5" w:rsidRPr="0018646B" w:rsidRDefault="00307FA5" w:rsidP="00307FA5">
      <w:pPr>
        <w:ind w:left="0" w:firstLine="0"/>
      </w:pPr>
    </w:p>
    <w:p w:rsidR="008A45F3" w:rsidRPr="0018646B" w:rsidRDefault="00307FA5" w:rsidP="00307FA5">
      <w:pPr>
        <w:ind w:left="0" w:firstLine="0"/>
      </w:pPr>
      <w:r w:rsidRPr="0018646B">
        <w:rPr>
          <w:b/>
          <w:color w:val="0000FF"/>
        </w:rPr>
        <w:t>1</w:t>
      </w:r>
      <w:r w:rsidR="009E37BD" w:rsidRPr="0018646B">
        <w:rPr>
          <w:b/>
          <w:color w:val="0000FF"/>
        </w:rPr>
        <w:t>a</w:t>
      </w:r>
      <w:r w:rsidR="00EA79C9" w:rsidRPr="0018646B">
        <w:rPr>
          <w:b/>
          <w:color w:val="0000FF"/>
        </w:rPr>
        <w:t>.5.3</w:t>
      </w:r>
      <w:r w:rsidRPr="0018646B">
        <w:rPr>
          <w:b/>
          <w:color w:val="0000FF"/>
        </w:rPr>
        <w:t>.</w:t>
      </w:r>
      <w:r w:rsidRPr="0018646B">
        <w:rPr>
          <w:bCs/>
        </w:rPr>
        <w:t xml:space="preserve"> </w:t>
      </w:r>
      <w:r w:rsidRPr="0018646B">
        <w:rPr>
          <w:b/>
        </w:rPr>
        <w:t xml:space="preserve">Grade assigned to the quoted recommendation </w:t>
      </w:r>
      <w:r w:rsidRPr="0018646B">
        <w:rPr>
          <w:b/>
          <w:u w:val="single"/>
        </w:rPr>
        <w:t>with definition</w:t>
      </w:r>
      <w:r w:rsidRPr="0018646B">
        <w:rPr>
          <w:b/>
        </w:rPr>
        <w:t xml:space="preserve"> of the grade</w:t>
      </w:r>
      <w:r w:rsidR="00776F6D" w:rsidRPr="0018646B">
        <w:t>:</w:t>
      </w:r>
    </w:p>
    <w:p w:rsidR="008A45F3" w:rsidRPr="0018646B" w:rsidRDefault="008A45F3" w:rsidP="00307FA5">
      <w:pPr>
        <w:ind w:left="0" w:firstLine="0"/>
      </w:pPr>
    </w:p>
    <w:p w:rsidR="00307FA5" w:rsidRPr="0018646B" w:rsidRDefault="008A45F3" w:rsidP="00307FA5">
      <w:pPr>
        <w:ind w:left="0" w:firstLine="0"/>
      </w:pPr>
      <w:r w:rsidRPr="0018646B">
        <w:rPr>
          <w:b/>
          <w:color w:val="0000FF"/>
        </w:rPr>
        <w:t xml:space="preserve">1a.5.4. </w:t>
      </w:r>
      <w:r w:rsidR="00C54E40" w:rsidRPr="0018646B">
        <w:rPr>
          <w:b/>
        </w:rPr>
        <w:t>Provide all other grades and associated definitions for recommendation</w:t>
      </w:r>
      <w:r w:rsidR="00205857" w:rsidRPr="0018646B">
        <w:rPr>
          <w:b/>
        </w:rPr>
        <w:t>s</w:t>
      </w:r>
      <w:r w:rsidR="00C54E40" w:rsidRPr="0018646B">
        <w:rPr>
          <w:b/>
        </w:rPr>
        <w:t xml:space="preserve"> in the grading system.</w:t>
      </w:r>
      <w:r w:rsidRPr="0018646B">
        <w:rPr>
          <w:b/>
        </w:rPr>
        <w:t xml:space="preserve"> </w:t>
      </w:r>
      <w:r w:rsidRPr="0018646B">
        <w:t>(</w:t>
      </w:r>
      <w:r w:rsidRPr="0018646B">
        <w:rPr>
          <w:i/>
        </w:rPr>
        <w:t>Note: the</w:t>
      </w:r>
      <w:r w:rsidRPr="0018646B">
        <w:t xml:space="preserve"> </w:t>
      </w:r>
      <w:r w:rsidRPr="0018646B">
        <w:rPr>
          <w:i/>
        </w:rPr>
        <w:t>grading system for the evidence should be reported in section 1a.7.</w:t>
      </w:r>
      <w:r w:rsidR="00095EC9" w:rsidRPr="0018646B">
        <w:t>)</w:t>
      </w:r>
    </w:p>
    <w:p w:rsidR="00307FA5" w:rsidRPr="0018646B" w:rsidRDefault="00307FA5" w:rsidP="00307FA5">
      <w:pPr>
        <w:ind w:left="0" w:firstLine="0"/>
        <w:rPr>
          <w:b/>
          <w:color w:val="0000FF"/>
        </w:rPr>
      </w:pPr>
    </w:p>
    <w:p w:rsidR="00A12762" w:rsidRPr="0018646B" w:rsidRDefault="008A45F3" w:rsidP="00307FA5">
      <w:pPr>
        <w:ind w:left="432" w:hanging="432"/>
        <w:rPr>
          <w:b/>
        </w:rPr>
      </w:pPr>
      <w:r w:rsidRPr="0018646B">
        <w:rPr>
          <w:b/>
          <w:color w:val="0000FF"/>
        </w:rPr>
        <w:t>1a.5.5</w:t>
      </w:r>
      <w:r w:rsidR="00A12762" w:rsidRPr="0018646B">
        <w:rPr>
          <w:b/>
          <w:color w:val="0000FF"/>
        </w:rPr>
        <w:t>.</w:t>
      </w:r>
      <w:r w:rsidR="00A12762" w:rsidRPr="0018646B">
        <w:rPr>
          <w:b/>
        </w:rPr>
        <w:t xml:space="preserve"> </w:t>
      </w:r>
      <w:r w:rsidRPr="0018646B">
        <w:rPr>
          <w:b/>
        </w:rPr>
        <w:t xml:space="preserve">Citation and </w:t>
      </w:r>
      <w:r w:rsidR="00A12762" w:rsidRPr="0018646B">
        <w:rPr>
          <w:b/>
        </w:rPr>
        <w:t>URL for methodology for grading</w:t>
      </w:r>
      <w:r w:rsidRPr="0018646B">
        <w:rPr>
          <w:b/>
        </w:rPr>
        <w:t xml:space="preserve"> recommendations</w:t>
      </w:r>
      <w:r w:rsidR="00AD79C8" w:rsidRPr="0018646B">
        <w:rPr>
          <w:b/>
        </w:rPr>
        <w:t xml:space="preserve"> </w:t>
      </w:r>
      <w:r w:rsidR="00AD79C8" w:rsidRPr="0018646B">
        <w:t>(</w:t>
      </w:r>
      <w:r w:rsidR="00AD79C8" w:rsidRPr="0018646B">
        <w:rPr>
          <w:i/>
        </w:rPr>
        <w:t xml:space="preserve">if </w:t>
      </w:r>
      <w:r w:rsidRPr="0018646B">
        <w:rPr>
          <w:i/>
        </w:rPr>
        <w:t>different from 1a.5.1</w:t>
      </w:r>
      <w:r w:rsidR="00AD79C8" w:rsidRPr="0018646B">
        <w:t>)</w:t>
      </w:r>
      <w:r w:rsidR="00A12762" w:rsidRPr="0018646B">
        <w:rPr>
          <w:b/>
        </w:rPr>
        <w:t>:</w:t>
      </w:r>
    </w:p>
    <w:p w:rsidR="00736AEC" w:rsidRPr="0018646B" w:rsidRDefault="00736AEC" w:rsidP="002E2177">
      <w:pPr>
        <w:ind w:left="432" w:hanging="432"/>
        <w:rPr>
          <w:b/>
        </w:rPr>
      </w:pPr>
    </w:p>
    <w:p w:rsidR="00EE5AF6" w:rsidRPr="0018646B" w:rsidRDefault="00923295" w:rsidP="002E2177">
      <w:pPr>
        <w:ind w:left="432" w:hanging="432"/>
        <w:rPr>
          <w:i/>
        </w:rPr>
      </w:pPr>
      <w:r w:rsidRPr="0018646B">
        <w:rPr>
          <w:b/>
          <w:i/>
          <w:highlight w:val="green"/>
        </w:rPr>
        <w:t xml:space="preserve">Complete section </w:t>
      </w:r>
      <w:hyperlink w:anchor="Section1a7" w:history="1">
        <w:r w:rsidR="009477D6" w:rsidRPr="0018646B">
          <w:rPr>
            <w:rStyle w:val="Hyperlink"/>
            <w:b/>
            <w:i/>
            <w:highlight w:val="green"/>
          </w:rPr>
          <w:t>1a.7</w:t>
        </w:r>
      </w:hyperlink>
    </w:p>
    <w:p w:rsidR="00EE5AF6" w:rsidRPr="0018646B" w:rsidRDefault="00925F11" w:rsidP="002E2177">
      <w:pPr>
        <w:ind w:left="432" w:hanging="432"/>
        <w:rPr>
          <w:b/>
          <w:color w:val="0000FF"/>
        </w:rPr>
      </w:pPr>
      <w:r w:rsidRPr="0018646B">
        <w:rPr>
          <w:b/>
          <w:iCs/>
          <w:caps/>
        </w:rPr>
        <w:t>_________________________</w:t>
      </w:r>
    </w:p>
    <w:p w:rsidR="00EE5AF6" w:rsidRPr="0018646B" w:rsidRDefault="00EE5AF6" w:rsidP="002E2177">
      <w:pPr>
        <w:ind w:left="432" w:hanging="432"/>
      </w:pPr>
      <w:bookmarkStart w:id="8" w:name="Section1a6"/>
      <w:bookmarkEnd w:id="8"/>
      <w:r w:rsidRPr="0018646B">
        <w:rPr>
          <w:b/>
          <w:color w:val="0000FF"/>
        </w:rPr>
        <w:t>1</w:t>
      </w:r>
      <w:r w:rsidR="009E37BD" w:rsidRPr="0018646B">
        <w:rPr>
          <w:b/>
          <w:color w:val="0000FF"/>
        </w:rPr>
        <w:t>a</w:t>
      </w:r>
      <w:r w:rsidRPr="0018646B">
        <w:rPr>
          <w:b/>
          <w:color w:val="0000FF"/>
        </w:rPr>
        <w:t>.6</w:t>
      </w:r>
      <w:r w:rsidR="00CB06C9" w:rsidRPr="0018646B">
        <w:rPr>
          <w:b/>
          <w:color w:val="0000FF"/>
        </w:rPr>
        <w:t>.</w:t>
      </w:r>
      <w:r w:rsidRPr="0018646B">
        <w:rPr>
          <w:b/>
          <w:color w:val="0000FF"/>
        </w:rPr>
        <w:t xml:space="preserve"> </w:t>
      </w:r>
      <w:r w:rsidR="0039609A" w:rsidRPr="0018646B">
        <w:rPr>
          <w:b/>
        </w:rPr>
        <w:t xml:space="preserve">OTHER </w:t>
      </w:r>
      <w:r w:rsidRPr="0018646B">
        <w:rPr>
          <w:b/>
        </w:rPr>
        <w:t>SYSTEMATIC REVIEW OF THE BODY OF EVIDENCE</w:t>
      </w:r>
    </w:p>
    <w:p w:rsidR="00EA79C9" w:rsidRPr="0018646B" w:rsidRDefault="00EE5AF6" w:rsidP="00EA79C9">
      <w:pPr>
        <w:ind w:left="0" w:firstLine="0"/>
      </w:pPr>
      <w:r w:rsidRPr="0018646B">
        <w:rPr>
          <w:b/>
          <w:color w:val="0000FF"/>
        </w:rPr>
        <w:t>1</w:t>
      </w:r>
      <w:r w:rsidR="009E37BD" w:rsidRPr="0018646B">
        <w:rPr>
          <w:b/>
          <w:color w:val="0000FF"/>
        </w:rPr>
        <w:t>a</w:t>
      </w:r>
      <w:r w:rsidRPr="0018646B">
        <w:rPr>
          <w:b/>
          <w:color w:val="0000FF"/>
        </w:rPr>
        <w:t>.6.1.</w:t>
      </w:r>
      <w:r w:rsidRPr="0018646B">
        <w:t xml:space="preserve"> </w:t>
      </w:r>
      <w:r w:rsidRPr="0018646B">
        <w:rPr>
          <w:b/>
        </w:rPr>
        <w:t>Citation</w:t>
      </w:r>
      <w:r w:rsidRPr="0018646B">
        <w:t xml:space="preserve"> (</w:t>
      </w:r>
      <w:r w:rsidRPr="0018646B">
        <w:rPr>
          <w:i/>
        </w:rPr>
        <w:t>including date</w:t>
      </w:r>
      <w:r w:rsidRPr="0018646B">
        <w:t>)</w:t>
      </w:r>
      <w:r w:rsidR="00EA79C9" w:rsidRPr="0018646B">
        <w:t xml:space="preserve"> and </w:t>
      </w:r>
      <w:r w:rsidR="00EA79C9" w:rsidRPr="0018646B">
        <w:rPr>
          <w:b/>
        </w:rPr>
        <w:t>URL</w:t>
      </w:r>
      <w:r w:rsidR="00EA79C9" w:rsidRPr="0018646B">
        <w:t xml:space="preserve"> (</w:t>
      </w:r>
      <w:r w:rsidR="00EA79C9" w:rsidRPr="0018646B">
        <w:rPr>
          <w:i/>
        </w:rPr>
        <w:t>if available online</w:t>
      </w:r>
      <w:r w:rsidR="00EA79C9" w:rsidRPr="0018646B">
        <w:t xml:space="preserve">): </w:t>
      </w:r>
    </w:p>
    <w:p w:rsidR="00EE5AF6" w:rsidRPr="0018646B" w:rsidRDefault="00EE5AF6" w:rsidP="00EE5AF6">
      <w:pPr>
        <w:ind w:left="0" w:firstLine="0"/>
      </w:pPr>
      <w:r w:rsidRPr="0018646B">
        <w:t xml:space="preserve"> </w:t>
      </w:r>
    </w:p>
    <w:p w:rsidR="00EC3C53" w:rsidRPr="0018646B" w:rsidRDefault="00EC3C53" w:rsidP="00F37775">
      <w:pPr>
        <w:pStyle w:val="ListParagraph"/>
      </w:pPr>
    </w:p>
    <w:p w:rsidR="00EC3C53" w:rsidRPr="0018646B" w:rsidRDefault="00EC3C53" w:rsidP="00F37775">
      <w:pPr>
        <w:pStyle w:val="ListParagraph"/>
        <w:numPr>
          <w:ilvl w:val="0"/>
          <w:numId w:val="28"/>
        </w:numPr>
        <w:ind w:left="360"/>
      </w:pPr>
      <w:r w:rsidRPr="0018646B">
        <w:t xml:space="preserve">Charania MR,  Marshall KJ,  Lyles CM,  et al. . </w:t>
      </w:r>
      <w:hyperlink r:id="rId26" w:history="1">
        <w:r w:rsidRPr="0018646B">
          <w:rPr>
            <w:rStyle w:val="Hyperlink"/>
          </w:rPr>
          <w:t>Identification of evidence-based interventions for promoting HIV medication adherence: findings from a systematic review of U.S.-based studies,</w:t>
        </w:r>
      </w:hyperlink>
      <w:r w:rsidRPr="0018646B">
        <w:t xml:space="preserve"> 1996–2011. AIDS Behav 2014;18:646-60.</w:t>
      </w:r>
    </w:p>
    <w:p w:rsidR="00DA3440" w:rsidRPr="0018646B" w:rsidRDefault="00DA3440" w:rsidP="00DA3440">
      <w:pPr>
        <w:pStyle w:val="ListParagraph"/>
      </w:pPr>
    </w:p>
    <w:p w:rsidR="00DA3440" w:rsidRPr="0018646B" w:rsidRDefault="00DA3440" w:rsidP="00DA3440">
      <w:pPr>
        <w:pStyle w:val="ListParagraph"/>
        <w:numPr>
          <w:ilvl w:val="0"/>
          <w:numId w:val="28"/>
        </w:numPr>
        <w:tabs>
          <w:tab w:val="left" w:pos="360"/>
        </w:tabs>
        <w:ind w:left="360"/>
      </w:pPr>
      <w:r w:rsidRPr="0018646B">
        <w:t xml:space="preserve">Attia S, et al. Sexual transmission of HIV according to viral load and antiretroviral therapy: systematic review and meta-analysis. AIDS 2009;23(11):1397-1404. </w:t>
      </w:r>
    </w:p>
    <w:p w:rsidR="00DA3440" w:rsidRPr="0018646B" w:rsidRDefault="00DA3440" w:rsidP="00DA3440">
      <w:pPr>
        <w:pStyle w:val="ListParagraph"/>
        <w:tabs>
          <w:tab w:val="left" w:pos="360"/>
        </w:tabs>
        <w:ind w:left="360"/>
      </w:pPr>
      <w:r w:rsidRPr="0018646B">
        <w:t xml:space="preserve">       Objective was to review the literature and obtain summary estimates of the risk of HIV transmission according to viral load, treatment with ART and presence of other sexually transmitted infections. Authors conclusion:  In conclusion, our study supports the World Health Organization’s view [ De Cock KM, Gilks CF, Lo YR, Guerma T. Can antiretroviral therapy eliminate HIV transmission? Lancet 2009; 373:7–9.] that at present there is insufficient evidence to formulate guidance on the role of ART in HIV prevention, both at the level of the individual and the population. Further studies quantifying transmission risk in different patient groups and under different conditions are required to inform such recommendations.</w:t>
      </w:r>
    </w:p>
    <w:p w:rsidR="00EE5AF6" w:rsidRPr="0018646B" w:rsidRDefault="00EE5AF6" w:rsidP="00EE5AF6">
      <w:pPr>
        <w:ind w:left="0" w:firstLine="0"/>
      </w:pPr>
      <w:r w:rsidRPr="0018646B">
        <w:rPr>
          <w:b/>
          <w:color w:val="0000FF"/>
        </w:rPr>
        <w:t>1</w:t>
      </w:r>
      <w:r w:rsidR="009E37BD" w:rsidRPr="0018646B">
        <w:rPr>
          <w:b/>
          <w:color w:val="0000FF"/>
        </w:rPr>
        <w:t>a</w:t>
      </w:r>
      <w:r w:rsidR="00EA79C9" w:rsidRPr="0018646B">
        <w:rPr>
          <w:b/>
          <w:color w:val="0000FF"/>
        </w:rPr>
        <w:t>.6.2</w:t>
      </w:r>
      <w:r w:rsidRPr="0018646B">
        <w:rPr>
          <w:b/>
          <w:color w:val="0000FF"/>
        </w:rPr>
        <w:t>.</w:t>
      </w:r>
      <w:r w:rsidRPr="0018646B">
        <w:t xml:space="preserve"> </w:t>
      </w:r>
      <w:r w:rsidR="00030F43" w:rsidRPr="0018646B">
        <w:rPr>
          <w:b/>
        </w:rPr>
        <w:t>Citation and</w:t>
      </w:r>
      <w:r w:rsidR="00030F43" w:rsidRPr="0018646B">
        <w:t xml:space="preserve"> </w:t>
      </w:r>
      <w:r w:rsidR="00C84623" w:rsidRPr="0018646B">
        <w:rPr>
          <w:b/>
        </w:rPr>
        <w:t xml:space="preserve">URL for methodology for evidence review and grading </w:t>
      </w:r>
      <w:r w:rsidR="00C84623" w:rsidRPr="0018646B">
        <w:t>(</w:t>
      </w:r>
      <w:r w:rsidR="00C84623" w:rsidRPr="0018646B">
        <w:rPr>
          <w:i/>
        </w:rPr>
        <w:t xml:space="preserve">if </w:t>
      </w:r>
      <w:r w:rsidR="00030F43" w:rsidRPr="0018646B">
        <w:rPr>
          <w:i/>
        </w:rPr>
        <w:t>different from 1a.6.1</w:t>
      </w:r>
      <w:r w:rsidR="00C84623" w:rsidRPr="0018646B">
        <w:t>)</w:t>
      </w:r>
      <w:r w:rsidR="00C84623" w:rsidRPr="0018646B">
        <w:rPr>
          <w:b/>
        </w:rPr>
        <w:t>:</w:t>
      </w:r>
    </w:p>
    <w:p w:rsidR="005D0FDB" w:rsidRPr="0018646B" w:rsidRDefault="001209EC" w:rsidP="00EE5AF6">
      <w:pPr>
        <w:ind w:left="0" w:firstLine="0"/>
      </w:pPr>
      <w:r w:rsidRPr="0018646B">
        <w:t>Not applicable</w:t>
      </w:r>
    </w:p>
    <w:p w:rsidR="00C84623" w:rsidRPr="0018646B" w:rsidRDefault="00C84623" w:rsidP="00EE5AF6">
      <w:pPr>
        <w:ind w:left="0" w:firstLine="0"/>
      </w:pPr>
      <w:r w:rsidRPr="0018646B">
        <w:rPr>
          <w:b/>
          <w:i/>
          <w:highlight w:val="green"/>
        </w:rPr>
        <w:t xml:space="preserve">Complete section </w:t>
      </w:r>
      <w:hyperlink w:anchor="Section1a7" w:history="1">
        <w:r w:rsidRPr="0018646B">
          <w:rPr>
            <w:rStyle w:val="Hyperlink"/>
            <w:b/>
            <w:i/>
            <w:highlight w:val="green"/>
          </w:rPr>
          <w:t>1a.7</w:t>
        </w:r>
      </w:hyperlink>
    </w:p>
    <w:p w:rsidR="00C84623" w:rsidRPr="0018646B" w:rsidRDefault="00925F11" w:rsidP="00EE5AF6">
      <w:pPr>
        <w:ind w:left="0" w:firstLine="0"/>
        <w:rPr>
          <w:b/>
          <w:color w:val="0000FF"/>
        </w:rPr>
      </w:pPr>
      <w:r w:rsidRPr="0018646B">
        <w:rPr>
          <w:b/>
          <w:iCs/>
          <w:caps/>
        </w:rPr>
        <w:t>_________________________</w:t>
      </w:r>
    </w:p>
    <w:p w:rsidR="00C84623" w:rsidRPr="0018646B" w:rsidRDefault="00C84623" w:rsidP="00EE5AF6">
      <w:pPr>
        <w:ind w:left="0" w:firstLine="0"/>
      </w:pPr>
      <w:r w:rsidRPr="0018646B" w:rsidDel="005D0FDB">
        <w:rPr>
          <w:b/>
          <w:color w:val="0000FF"/>
        </w:rPr>
        <w:t xml:space="preserve">1a.7. </w:t>
      </w:r>
      <w:r w:rsidRPr="0018646B" w:rsidDel="005D0FDB">
        <w:rPr>
          <w:b/>
        </w:rPr>
        <w:t xml:space="preserve">FINDINGS FROM SYSTEMATIC REVIEW OF BODY OF THE EVIDENCE </w:t>
      </w:r>
      <w:r w:rsidRPr="0018646B" w:rsidDel="005D0FDB">
        <w:rPr>
          <w:b/>
          <w:caps/>
          <w:noProof/>
        </w:rPr>
        <w:t>supporting the measure</w:t>
      </w:r>
    </w:p>
    <w:p w:rsidR="00851466" w:rsidRPr="0018646B" w:rsidRDefault="00851466" w:rsidP="00EE5AF6">
      <w:pPr>
        <w:ind w:left="0" w:firstLine="0"/>
        <w:rPr>
          <w:b/>
          <w:i/>
          <w:color w:val="0000FF"/>
        </w:rPr>
      </w:pPr>
      <w:r w:rsidRPr="0018646B">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18646B" w:rsidRDefault="00CB1E41" w:rsidP="00EE5AF6">
      <w:pPr>
        <w:ind w:left="0" w:firstLine="0"/>
        <w:rPr>
          <w:b/>
          <w:color w:val="0000FF"/>
        </w:rPr>
      </w:pPr>
    </w:p>
    <w:p w:rsidR="00626ED5" w:rsidRPr="0018646B" w:rsidRDefault="00626ED5" w:rsidP="00626ED5">
      <w:pPr>
        <w:ind w:left="0" w:firstLine="0"/>
      </w:pPr>
      <w:r w:rsidRPr="0018646B">
        <w:t xml:space="preserve">Because the WHO employed the GRADE method to develop its 2016 </w:t>
      </w:r>
      <w:r w:rsidRPr="0018646B">
        <w:rPr>
          <w:i/>
        </w:rPr>
        <w:t xml:space="preserve">Consolidated guidelines on the use of antiretroviral drugs for treating and preventing HIV infection, </w:t>
      </w:r>
      <w:r w:rsidRPr="0018646B">
        <w:t xml:space="preserve">we have—with one exception--focused on the findings from that evidence review in our responses to the 1a.7 question series below.  The one exception concerns the START trial, a high quality, randomized controlled trial for which published final results were not available at the time the WHO conducted its evidence review.  The results of the START trial played a key role in the 2016 decision by the HHS Panel on Antiretroviral Guidelines for Adults and Adolescents </w:t>
      </w:r>
      <w:r w:rsidR="00F36BAC" w:rsidRPr="0018646B">
        <w:t>to substantially strengthen its recommendation that ART be initiated for all persons living with HIV, regardless of their CD4 count at time of diagnosis.</w:t>
      </w:r>
    </w:p>
    <w:p w:rsidR="00626ED5" w:rsidRPr="0018646B" w:rsidRDefault="00626ED5" w:rsidP="00EE5AF6">
      <w:pPr>
        <w:ind w:left="0" w:firstLine="0"/>
        <w:rPr>
          <w:b/>
          <w:color w:val="0000FF"/>
        </w:rPr>
      </w:pPr>
    </w:p>
    <w:p w:rsidR="00EE5AF6" w:rsidRPr="0018646B" w:rsidRDefault="00EE5AF6" w:rsidP="00EE5AF6">
      <w:pPr>
        <w:ind w:left="0" w:firstLine="0"/>
      </w:pPr>
      <w:r w:rsidRPr="0018646B">
        <w:rPr>
          <w:b/>
          <w:color w:val="0000FF"/>
        </w:rPr>
        <w:t>1</w:t>
      </w:r>
      <w:r w:rsidR="009E37BD" w:rsidRPr="0018646B">
        <w:rPr>
          <w:b/>
          <w:color w:val="0000FF"/>
        </w:rPr>
        <w:t>a</w:t>
      </w:r>
      <w:r w:rsidRPr="0018646B">
        <w:rPr>
          <w:b/>
          <w:color w:val="0000FF"/>
        </w:rPr>
        <w:t>.</w:t>
      </w:r>
      <w:r w:rsidR="00C84623" w:rsidRPr="0018646B">
        <w:rPr>
          <w:b/>
          <w:color w:val="0000FF"/>
        </w:rPr>
        <w:t>7.1</w:t>
      </w:r>
      <w:r w:rsidRPr="0018646B">
        <w:rPr>
          <w:b/>
          <w:color w:val="0000FF"/>
        </w:rPr>
        <w:t>.</w:t>
      </w:r>
      <w:r w:rsidRPr="0018646B">
        <w:rPr>
          <w:bCs/>
        </w:rPr>
        <w:t xml:space="preserve"> </w:t>
      </w:r>
      <w:r w:rsidRPr="0018646B">
        <w:rPr>
          <w:b/>
        </w:rPr>
        <w:t>What was the specific structure, treatment, intervention, service, or intermediate outcome addressed in the evidence review?</w:t>
      </w:r>
      <w:r w:rsidRPr="0018646B">
        <w:t xml:space="preserve"> </w:t>
      </w:r>
    </w:p>
    <w:p w:rsidR="002D37F5" w:rsidRPr="0018646B" w:rsidRDefault="00E3323C" w:rsidP="00EE5AF6">
      <w:pPr>
        <w:ind w:left="0" w:firstLine="0"/>
        <w:rPr>
          <w:b/>
        </w:rPr>
      </w:pPr>
      <w:r w:rsidRPr="0018646B">
        <w:rPr>
          <w:b/>
        </w:rPr>
        <w:t>WHO Guidelines 2016</w:t>
      </w:r>
      <w:r w:rsidR="002D37F5" w:rsidRPr="0018646B">
        <w:rPr>
          <w:b/>
        </w:rPr>
        <w:t xml:space="preserve">.  Supporting evidence summaries for the WHO guidelines were published in 2015 and are available at: </w:t>
      </w:r>
      <w:hyperlink r:id="rId27" w:history="1">
        <w:r w:rsidR="002D37F5" w:rsidRPr="0018646B">
          <w:rPr>
            <w:rStyle w:val="Hyperlink"/>
            <w:b/>
          </w:rPr>
          <w:t>http://apps.who.int/iris/bitstream/10665/189977/1/WHO_HIV_2015.36_eng.pdf?ua=1</w:t>
        </w:r>
      </w:hyperlink>
    </w:p>
    <w:p w:rsidR="00E3323C" w:rsidRPr="0018646B" w:rsidRDefault="002D37F5" w:rsidP="00EE5AF6">
      <w:pPr>
        <w:ind w:left="0" w:firstLine="0"/>
        <w:rPr>
          <w:b/>
        </w:rPr>
      </w:pPr>
      <w:r w:rsidRPr="0018646B">
        <w:rPr>
          <w:b/>
        </w:rPr>
        <w:t>Annexes 2.1.1. and 2.2.1 are most relevant</w:t>
      </w:r>
    </w:p>
    <w:p w:rsidR="003E6C57" w:rsidRPr="0018646B" w:rsidRDefault="003E6C57" w:rsidP="00EE5AF6">
      <w:pPr>
        <w:ind w:left="0" w:firstLine="0"/>
        <w:rPr>
          <w:b/>
        </w:rPr>
      </w:pPr>
    </w:p>
    <w:p w:rsidR="003E6C57" w:rsidRPr="0018646B" w:rsidRDefault="003E6C57" w:rsidP="00EE5AF6">
      <w:pPr>
        <w:ind w:left="0" w:firstLine="0"/>
        <w:rPr>
          <w:b/>
        </w:rPr>
      </w:pPr>
      <w:r w:rsidRPr="0018646B">
        <w:rPr>
          <w:b/>
          <w:bCs/>
        </w:rPr>
        <w:t>When to start in asymptomatic HIV+ adults and adolescents</w:t>
      </w:r>
    </w:p>
    <w:p w:rsidR="003E6C57" w:rsidRPr="0018646B" w:rsidRDefault="003E6C57" w:rsidP="00A6200A">
      <w:pPr>
        <w:pStyle w:val="ListParagraph"/>
        <w:numPr>
          <w:ilvl w:val="0"/>
          <w:numId w:val="35"/>
        </w:numPr>
        <w:autoSpaceDE w:val="0"/>
        <w:autoSpaceDN w:val="0"/>
        <w:adjustRightInd w:val="0"/>
        <w:rPr>
          <w:rFonts w:cs="Times New Roman"/>
        </w:rPr>
      </w:pPr>
      <w:r w:rsidRPr="0018646B">
        <w:rPr>
          <w:rFonts w:cs="Times New Roman"/>
        </w:rPr>
        <w:t>Population - Adults, adolescents and children living with HIV (WHO clinical stage 1 or 2)</w:t>
      </w:r>
    </w:p>
    <w:p w:rsidR="003E6C57" w:rsidRPr="0018646B" w:rsidRDefault="003E6C57" w:rsidP="00A6200A">
      <w:pPr>
        <w:pStyle w:val="ListParagraph"/>
        <w:numPr>
          <w:ilvl w:val="0"/>
          <w:numId w:val="35"/>
        </w:numPr>
        <w:autoSpaceDE w:val="0"/>
        <w:autoSpaceDN w:val="0"/>
        <w:adjustRightInd w:val="0"/>
        <w:rPr>
          <w:rFonts w:cs="Times New Roman"/>
        </w:rPr>
      </w:pPr>
      <w:r w:rsidRPr="0018646B">
        <w:rPr>
          <w:rFonts w:cs="Times New Roman"/>
        </w:rPr>
        <w:t>Intervention - ART initiated &gt; CD4 500 cells/mm3</w:t>
      </w:r>
    </w:p>
    <w:p w:rsidR="003E6C57" w:rsidRPr="0018646B" w:rsidRDefault="003E6C57" w:rsidP="00A6200A">
      <w:pPr>
        <w:pStyle w:val="ListParagraph"/>
        <w:numPr>
          <w:ilvl w:val="0"/>
          <w:numId w:val="35"/>
        </w:numPr>
        <w:autoSpaceDE w:val="0"/>
        <w:autoSpaceDN w:val="0"/>
        <w:adjustRightInd w:val="0"/>
        <w:rPr>
          <w:rFonts w:cs="Times New Roman"/>
        </w:rPr>
      </w:pPr>
      <w:r w:rsidRPr="0018646B">
        <w:rPr>
          <w:rFonts w:cs="Times New Roman"/>
        </w:rPr>
        <w:t>Comparator - ART initiated ≤CD4 500 cells/mm3</w:t>
      </w:r>
    </w:p>
    <w:p w:rsidR="003E6C57" w:rsidRPr="0018646B" w:rsidRDefault="003E6C57" w:rsidP="00A6200A">
      <w:pPr>
        <w:pStyle w:val="ListParagraph"/>
        <w:numPr>
          <w:ilvl w:val="0"/>
          <w:numId w:val="35"/>
        </w:numPr>
        <w:autoSpaceDE w:val="0"/>
        <w:autoSpaceDN w:val="0"/>
        <w:adjustRightInd w:val="0"/>
        <w:rPr>
          <w:rFonts w:cs="Times New Roman"/>
        </w:rPr>
      </w:pPr>
      <w:r w:rsidRPr="0018646B">
        <w:rPr>
          <w:rFonts w:cs="Times New Roman"/>
        </w:rPr>
        <w:t xml:space="preserve">Outcome(s) - Death, AIDS, tuberculosis, non-AIDS events1, uptake, adherence, retention, viral suppression, severe treatment-related adverse events (harm) </w:t>
      </w:r>
    </w:p>
    <w:p w:rsidR="003E6C57" w:rsidRPr="0018646B" w:rsidRDefault="003E6C57" w:rsidP="00A6200A">
      <w:pPr>
        <w:pStyle w:val="ListParagraph"/>
        <w:autoSpaceDE w:val="0"/>
        <w:autoSpaceDN w:val="0"/>
        <w:adjustRightInd w:val="0"/>
        <w:ind w:firstLine="0"/>
        <w:rPr>
          <w:rFonts w:cs="Times New Roman"/>
        </w:rPr>
      </w:pPr>
      <w:r w:rsidRPr="0018646B">
        <w:rPr>
          <w:rFonts w:cs="Times New Roman"/>
        </w:rPr>
        <w:t>HIV transmission, HCV transmission (for HIV and HCV coinfected population), HBV transmission (for HIV and HBV coinfected population)</w:t>
      </w:r>
    </w:p>
    <w:p w:rsidR="003E6C57" w:rsidRPr="0018646B" w:rsidRDefault="003E6C57" w:rsidP="00A6200A">
      <w:pPr>
        <w:pStyle w:val="ListParagraph"/>
        <w:autoSpaceDE w:val="0"/>
        <w:autoSpaceDN w:val="0"/>
        <w:adjustRightInd w:val="0"/>
        <w:ind w:firstLine="0"/>
        <w:rPr>
          <w:rFonts w:cs="Times New Roman"/>
        </w:rPr>
      </w:pPr>
      <w:r w:rsidRPr="0018646B">
        <w:rPr>
          <w:rFonts w:cs="Times New Roman"/>
        </w:rPr>
        <w:t>Children: immunological</w:t>
      </w:r>
    </w:p>
    <w:p w:rsidR="005C168E" w:rsidRPr="0018646B" w:rsidRDefault="005C168E" w:rsidP="000B2690"/>
    <w:p w:rsidR="005C168E" w:rsidRPr="0018646B" w:rsidRDefault="005C168E" w:rsidP="000B2690">
      <w:pPr>
        <w:rPr>
          <w:b/>
        </w:rPr>
      </w:pPr>
      <w:r w:rsidRPr="0018646B">
        <w:rPr>
          <w:b/>
        </w:rPr>
        <w:t>Monitoring the response to ART and diagnosis of treatment failure</w:t>
      </w:r>
    </w:p>
    <w:p w:rsidR="005C168E" w:rsidRPr="0018646B" w:rsidRDefault="005C168E" w:rsidP="005C168E">
      <w:pPr>
        <w:pStyle w:val="ListParagraph"/>
        <w:numPr>
          <w:ilvl w:val="0"/>
          <w:numId w:val="43"/>
        </w:numPr>
        <w:autoSpaceDE w:val="0"/>
        <w:autoSpaceDN w:val="0"/>
        <w:adjustRightInd w:val="0"/>
        <w:rPr>
          <w:rFonts w:cs="Times New Roman"/>
        </w:rPr>
      </w:pPr>
      <w:r w:rsidRPr="0018646B">
        <w:rPr>
          <w:rFonts w:cs="Times New Roman"/>
        </w:rPr>
        <w:t>Population - Adults, adolescents and children living with HIV who are receiving ART</w:t>
      </w:r>
    </w:p>
    <w:p w:rsidR="005C168E" w:rsidRPr="0018646B" w:rsidRDefault="005C168E" w:rsidP="005C168E">
      <w:pPr>
        <w:pStyle w:val="ListParagraph"/>
        <w:numPr>
          <w:ilvl w:val="0"/>
          <w:numId w:val="43"/>
        </w:numPr>
        <w:autoSpaceDE w:val="0"/>
        <w:autoSpaceDN w:val="0"/>
        <w:adjustRightInd w:val="0"/>
        <w:rPr>
          <w:rFonts w:cs="Times New Roman"/>
        </w:rPr>
      </w:pPr>
      <w:r w:rsidRPr="0018646B">
        <w:rPr>
          <w:rFonts w:cs="Times New Roman"/>
        </w:rPr>
        <w:t>Intervention--</w:t>
      </w:r>
      <w:r w:rsidRPr="0018646B">
        <w:t xml:space="preserve"> </w:t>
      </w:r>
      <w:r w:rsidRPr="0018646B">
        <w:rPr>
          <w:rFonts w:cs="Times New Roman"/>
        </w:rPr>
        <w:t>HIV viral load (at 6 months and 12 months after initiating ART and every 12 months thereafter)</w:t>
      </w:r>
    </w:p>
    <w:p w:rsidR="005C168E" w:rsidRPr="0018646B" w:rsidRDefault="005C168E" w:rsidP="000B2690">
      <w:pPr>
        <w:pStyle w:val="ListParagraph"/>
        <w:numPr>
          <w:ilvl w:val="0"/>
          <w:numId w:val="43"/>
        </w:numPr>
      </w:pPr>
      <w:r w:rsidRPr="0018646B">
        <w:t>Comparator— CD4 count and clinical monitoring</w:t>
      </w:r>
    </w:p>
    <w:p w:rsidR="005C168E" w:rsidRPr="0018646B" w:rsidRDefault="005C168E" w:rsidP="000B2690">
      <w:pPr>
        <w:pStyle w:val="ListParagraph"/>
        <w:numPr>
          <w:ilvl w:val="0"/>
          <w:numId w:val="43"/>
        </w:numPr>
      </w:pPr>
      <w:r w:rsidRPr="0018646B">
        <w:t>Outcomes—HIV treatment failure; treatment non-adherence; transmission risk</w:t>
      </w:r>
    </w:p>
    <w:p w:rsidR="005C168E" w:rsidRPr="0018646B" w:rsidRDefault="005C168E" w:rsidP="000B2690">
      <w:pPr>
        <w:rPr>
          <w:b/>
        </w:rPr>
      </w:pPr>
    </w:p>
    <w:p w:rsidR="00095EC9" w:rsidRPr="0018646B" w:rsidRDefault="00EE5AF6" w:rsidP="00EA79C9">
      <w:pPr>
        <w:ind w:left="0" w:firstLine="0"/>
      </w:pPr>
      <w:r w:rsidRPr="0018646B">
        <w:rPr>
          <w:b/>
          <w:color w:val="0000FF"/>
        </w:rPr>
        <w:t>1</w:t>
      </w:r>
      <w:r w:rsidR="009E37BD" w:rsidRPr="0018646B">
        <w:rPr>
          <w:b/>
          <w:color w:val="0000FF"/>
        </w:rPr>
        <w:t>a</w:t>
      </w:r>
      <w:r w:rsidRPr="0018646B">
        <w:rPr>
          <w:b/>
          <w:color w:val="0000FF"/>
        </w:rPr>
        <w:t>.</w:t>
      </w:r>
      <w:r w:rsidR="00C84623" w:rsidRPr="0018646B">
        <w:rPr>
          <w:b/>
          <w:color w:val="0000FF"/>
        </w:rPr>
        <w:t>7.2</w:t>
      </w:r>
      <w:r w:rsidRPr="0018646B">
        <w:rPr>
          <w:b/>
          <w:color w:val="0000FF"/>
        </w:rPr>
        <w:t>.</w:t>
      </w:r>
      <w:r w:rsidRPr="0018646B">
        <w:rPr>
          <w:bCs/>
        </w:rPr>
        <w:t xml:space="preserve"> </w:t>
      </w:r>
      <w:r w:rsidRPr="0018646B">
        <w:rPr>
          <w:b/>
        </w:rPr>
        <w:t xml:space="preserve">Grade assigned </w:t>
      </w:r>
      <w:r w:rsidR="00E746A2" w:rsidRPr="0018646B">
        <w:rPr>
          <w:b/>
        </w:rPr>
        <w:t xml:space="preserve">for the quality of </w:t>
      </w:r>
      <w:r w:rsidRPr="0018646B">
        <w:rPr>
          <w:b/>
        </w:rPr>
        <w:t xml:space="preserve">the quoted evidence </w:t>
      </w:r>
      <w:r w:rsidRPr="0018646B">
        <w:rPr>
          <w:b/>
          <w:u w:val="single"/>
        </w:rPr>
        <w:t>with definition</w:t>
      </w:r>
      <w:r w:rsidRPr="0018646B">
        <w:rPr>
          <w:b/>
        </w:rPr>
        <w:t xml:space="preserve"> of the grade</w:t>
      </w:r>
      <w:r w:rsidRPr="0018646B">
        <w:t xml:space="preserve">: </w:t>
      </w:r>
    </w:p>
    <w:p w:rsidR="007A0BAB" w:rsidRPr="0018646B" w:rsidRDefault="007A0BAB" w:rsidP="007A0BAB">
      <w:pPr>
        <w:autoSpaceDE w:val="0"/>
        <w:autoSpaceDN w:val="0"/>
        <w:adjustRightInd w:val="0"/>
        <w:ind w:left="0" w:firstLine="0"/>
        <w:rPr>
          <w:rFonts w:cs="ArialNarrow-BoldItalic"/>
          <w:b/>
          <w:bCs/>
          <w:i/>
          <w:iCs/>
          <w:color w:val="000000"/>
        </w:rPr>
      </w:pPr>
    </w:p>
    <w:p w:rsidR="00B97C98" w:rsidRPr="0018646B" w:rsidRDefault="00B97C98" w:rsidP="00B97C98">
      <w:pPr>
        <w:pStyle w:val="ListParagraph"/>
        <w:ind w:left="0" w:firstLine="0"/>
        <w:rPr>
          <w:b/>
        </w:rPr>
      </w:pPr>
      <w:r w:rsidRPr="0018646B">
        <w:rPr>
          <w:b/>
          <w:color w:val="0000FF"/>
        </w:rPr>
        <w:t xml:space="preserve">Rating of Recommendations </w:t>
      </w:r>
    </w:p>
    <w:p w:rsidR="00B97C98" w:rsidRPr="0018646B" w:rsidRDefault="00B97C98" w:rsidP="00B97C98">
      <w:pPr>
        <w:pStyle w:val="ListParagraph"/>
        <w:ind w:left="0" w:firstLine="0"/>
        <w:rPr>
          <w:b/>
        </w:rPr>
      </w:pPr>
      <w:r w:rsidRPr="0018646B">
        <w:rPr>
          <w:b/>
        </w:rPr>
        <w:t>WHO Guidelines (2016)</w:t>
      </w:r>
    </w:p>
    <w:p w:rsidR="00B97C98" w:rsidRPr="0018646B" w:rsidRDefault="00B97C98" w:rsidP="00B97C98">
      <w:pPr>
        <w:pStyle w:val="ListParagraph"/>
        <w:ind w:left="0" w:firstLine="0"/>
        <w:rPr>
          <w:b/>
          <w:color w:val="0000FF"/>
        </w:rPr>
      </w:pPr>
      <w:r w:rsidRPr="0018646B">
        <w:rPr>
          <w:b/>
          <w:color w:val="0000FF"/>
        </w:rPr>
        <w:t>Quality of evidence Definition</w:t>
      </w:r>
    </w:p>
    <w:p w:rsidR="00B97C98" w:rsidRPr="0018646B" w:rsidRDefault="00B97C98" w:rsidP="00B97C98">
      <w:pPr>
        <w:pStyle w:val="ListParagraph"/>
        <w:ind w:left="0" w:firstLine="0"/>
        <w:rPr>
          <w:color w:val="0000FF"/>
        </w:rPr>
      </w:pPr>
      <w:r w:rsidRPr="0018646B">
        <w:rPr>
          <w:b/>
          <w:color w:val="0000FF"/>
        </w:rPr>
        <w:t xml:space="preserve">High </w:t>
      </w:r>
      <w:r w:rsidRPr="0018646B">
        <w:rPr>
          <w:color w:val="0000FF"/>
        </w:rPr>
        <w:t>We are very confident that the true effect lies close to that of the estimate of</w:t>
      </w:r>
    </w:p>
    <w:p w:rsidR="00B97C98" w:rsidRPr="0018646B" w:rsidRDefault="00B97C98" w:rsidP="00B97C98">
      <w:pPr>
        <w:pStyle w:val="ListParagraph"/>
        <w:ind w:left="0" w:firstLine="0"/>
        <w:rPr>
          <w:color w:val="0000FF"/>
        </w:rPr>
      </w:pPr>
      <w:r w:rsidRPr="0018646B">
        <w:rPr>
          <w:color w:val="0000FF"/>
        </w:rPr>
        <w:t>the effect</w:t>
      </w:r>
    </w:p>
    <w:p w:rsidR="00B97C98" w:rsidRPr="0018646B" w:rsidRDefault="00B97C98" w:rsidP="00B97C98">
      <w:pPr>
        <w:pStyle w:val="ListParagraph"/>
        <w:ind w:left="0" w:firstLine="0"/>
        <w:rPr>
          <w:color w:val="0000FF"/>
        </w:rPr>
      </w:pPr>
      <w:r w:rsidRPr="0018646B">
        <w:rPr>
          <w:b/>
          <w:color w:val="0000FF"/>
        </w:rPr>
        <w:t xml:space="preserve">Middle </w:t>
      </w:r>
      <w:r w:rsidRPr="0018646B">
        <w:rPr>
          <w:color w:val="0000FF"/>
        </w:rPr>
        <w:t>We are moderately confident in the effect estimate: the true effect is likely to be</w:t>
      </w:r>
    </w:p>
    <w:p w:rsidR="00B97C98" w:rsidRPr="0018646B" w:rsidRDefault="00B97C98" w:rsidP="00B97C98">
      <w:pPr>
        <w:pStyle w:val="ListParagraph"/>
        <w:ind w:left="0" w:firstLine="0"/>
        <w:rPr>
          <w:color w:val="0000FF"/>
        </w:rPr>
      </w:pPr>
      <w:r w:rsidRPr="0018646B">
        <w:rPr>
          <w:color w:val="0000FF"/>
        </w:rPr>
        <w:t>close to the estimate of effect, but there is a possibility that it is substantially</w:t>
      </w:r>
    </w:p>
    <w:p w:rsidR="00B97C98" w:rsidRPr="0018646B" w:rsidRDefault="00B97C98" w:rsidP="00B97C98">
      <w:pPr>
        <w:pStyle w:val="ListParagraph"/>
        <w:ind w:left="0" w:firstLine="0"/>
        <w:rPr>
          <w:color w:val="0000FF"/>
        </w:rPr>
      </w:pPr>
      <w:r w:rsidRPr="0018646B">
        <w:rPr>
          <w:color w:val="0000FF"/>
        </w:rPr>
        <w:t>different</w:t>
      </w:r>
    </w:p>
    <w:p w:rsidR="00B97C98" w:rsidRPr="0018646B" w:rsidRDefault="00B97C98" w:rsidP="00B97C98">
      <w:pPr>
        <w:pStyle w:val="ListParagraph"/>
        <w:ind w:left="0" w:firstLine="0"/>
        <w:rPr>
          <w:color w:val="0000FF"/>
        </w:rPr>
      </w:pPr>
      <w:r w:rsidRPr="0018646B">
        <w:rPr>
          <w:b/>
          <w:color w:val="0000FF"/>
        </w:rPr>
        <w:t xml:space="preserve">Low </w:t>
      </w:r>
      <w:r w:rsidRPr="0018646B">
        <w:rPr>
          <w:color w:val="0000FF"/>
        </w:rPr>
        <w:t>Our confidence in the effect estimate is limited: the true effect may be</w:t>
      </w:r>
    </w:p>
    <w:p w:rsidR="00B97C98" w:rsidRPr="0018646B" w:rsidRDefault="00B97C98" w:rsidP="00B97C98">
      <w:pPr>
        <w:pStyle w:val="ListParagraph"/>
        <w:ind w:left="0" w:firstLine="0"/>
        <w:rPr>
          <w:color w:val="0000FF"/>
        </w:rPr>
      </w:pPr>
      <w:r w:rsidRPr="0018646B">
        <w:rPr>
          <w:color w:val="0000FF"/>
        </w:rPr>
        <w:t>substantially different from the estimate of the effect</w:t>
      </w:r>
    </w:p>
    <w:p w:rsidR="00B97C98" w:rsidRPr="0018646B" w:rsidRDefault="00B97C98" w:rsidP="00B97C98">
      <w:pPr>
        <w:pStyle w:val="ListParagraph"/>
        <w:ind w:left="0" w:firstLine="0"/>
        <w:rPr>
          <w:b/>
          <w:color w:val="0000FF"/>
        </w:rPr>
      </w:pPr>
      <w:r w:rsidRPr="0018646B">
        <w:rPr>
          <w:b/>
          <w:color w:val="0000FF"/>
        </w:rPr>
        <w:t xml:space="preserve">Very low </w:t>
      </w:r>
      <w:r w:rsidRPr="0018646B">
        <w:rPr>
          <w:color w:val="0000FF"/>
        </w:rPr>
        <w:t>We have very little confidence in the effect estimate: the true</w:t>
      </w:r>
    </w:p>
    <w:p w:rsidR="00095EC9" w:rsidRPr="0018646B" w:rsidRDefault="00095EC9" w:rsidP="00EA79C9">
      <w:pPr>
        <w:ind w:left="0" w:firstLine="0"/>
      </w:pPr>
    </w:p>
    <w:p w:rsidR="00EA79C9" w:rsidRPr="0018646B" w:rsidRDefault="00095EC9" w:rsidP="00EA79C9">
      <w:pPr>
        <w:ind w:left="0" w:firstLine="0"/>
        <w:rPr>
          <w:color w:val="0000FF"/>
        </w:rPr>
      </w:pPr>
      <w:r w:rsidRPr="0018646B">
        <w:rPr>
          <w:b/>
          <w:noProof/>
          <w:color w:val="0000FF"/>
        </w:rPr>
        <w:t xml:space="preserve">1a.7.3. </w:t>
      </w:r>
      <w:r w:rsidR="00EA79C9" w:rsidRPr="0018646B">
        <w:rPr>
          <w:b/>
        </w:rPr>
        <w:t xml:space="preserve">Provide all </w:t>
      </w:r>
      <w:r w:rsidR="00205857" w:rsidRPr="0018646B">
        <w:rPr>
          <w:b/>
        </w:rPr>
        <w:t xml:space="preserve">other </w:t>
      </w:r>
      <w:r w:rsidR="00EA79C9" w:rsidRPr="0018646B">
        <w:rPr>
          <w:b/>
        </w:rPr>
        <w:t xml:space="preserve">grades and associated definitions for strength of the evidence in the </w:t>
      </w:r>
      <w:r w:rsidR="00C54E40" w:rsidRPr="0018646B">
        <w:rPr>
          <w:b/>
        </w:rPr>
        <w:t xml:space="preserve">grading system.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7286"/>
      </w:tblGrid>
      <w:tr w:rsidR="0018646B" w:rsidRPr="0018646B" w:rsidTr="005E32F2">
        <w:trPr>
          <w:trHeight w:val="95"/>
        </w:trPr>
        <w:tc>
          <w:tcPr>
            <w:tcW w:w="1104" w:type="pct"/>
          </w:tcPr>
          <w:p w:rsidR="0018646B" w:rsidRPr="0018646B" w:rsidRDefault="0018646B" w:rsidP="005E32F2">
            <w:pPr>
              <w:autoSpaceDE w:val="0"/>
              <w:autoSpaceDN w:val="0"/>
              <w:adjustRightInd w:val="0"/>
              <w:spacing w:line="161" w:lineRule="atLeast"/>
              <w:ind w:left="0" w:firstLine="0"/>
              <w:rPr>
                <w:rFonts w:cs="Frutiger 47LightCn"/>
                <w:color w:val="0000FF"/>
              </w:rPr>
            </w:pPr>
            <w:bookmarkStart w:id="9" w:name="Section1a7"/>
            <w:bookmarkEnd w:id="9"/>
            <w:r w:rsidRPr="0018646B">
              <w:rPr>
                <w:rFonts w:cs="Frutiger 47LightCn"/>
                <w:b/>
                <w:bCs/>
                <w:color w:val="0000FF"/>
              </w:rPr>
              <w:t xml:space="preserve">Quality of evidence </w:t>
            </w:r>
          </w:p>
        </w:tc>
        <w:tc>
          <w:tcPr>
            <w:tcW w:w="3896" w:type="pct"/>
          </w:tcPr>
          <w:p w:rsidR="0018646B" w:rsidRPr="0018646B" w:rsidRDefault="0018646B" w:rsidP="005E32F2">
            <w:pPr>
              <w:autoSpaceDE w:val="0"/>
              <w:autoSpaceDN w:val="0"/>
              <w:adjustRightInd w:val="0"/>
              <w:spacing w:line="161" w:lineRule="atLeast"/>
              <w:ind w:left="0" w:firstLine="0"/>
              <w:rPr>
                <w:rFonts w:cs="Frutiger 47LightCn"/>
                <w:color w:val="0000FF"/>
              </w:rPr>
            </w:pPr>
            <w:r w:rsidRPr="0018646B">
              <w:rPr>
                <w:rFonts w:cs="Frutiger 47LightCn"/>
                <w:b/>
                <w:bCs/>
                <w:color w:val="0000FF"/>
              </w:rPr>
              <w:t xml:space="preserve">Definition </w:t>
            </w:r>
          </w:p>
        </w:tc>
      </w:tr>
      <w:tr w:rsidR="0018646B" w:rsidRPr="0018646B" w:rsidTr="005E32F2">
        <w:trPr>
          <w:trHeight w:val="180"/>
        </w:trPr>
        <w:tc>
          <w:tcPr>
            <w:tcW w:w="1104" w:type="pct"/>
          </w:tcPr>
          <w:p w:rsidR="0018646B" w:rsidRPr="0018646B" w:rsidRDefault="0018646B" w:rsidP="005E32F2">
            <w:pPr>
              <w:autoSpaceDE w:val="0"/>
              <w:autoSpaceDN w:val="0"/>
              <w:adjustRightInd w:val="0"/>
              <w:spacing w:line="161" w:lineRule="atLeast"/>
              <w:ind w:left="0" w:firstLine="0"/>
              <w:rPr>
                <w:rFonts w:cs="Frutiger 47LightCn"/>
                <w:color w:val="0000FF"/>
              </w:rPr>
            </w:pPr>
            <w:r w:rsidRPr="0018646B">
              <w:rPr>
                <w:rFonts w:cs="Frutiger 47LightCn"/>
                <w:b/>
                <w:bCs/>
                <w:color w:val="0000FF"/>
              </w:rPr>
              <w:t xml:space="preserve">High </w:t>
            </w:r>
          </w:p>
        </w:tc>
        <w:tc>
          <w:tcPr>
            <w:tcW w:w="3896" w:type="pct"/>
          </w:tcPr>
          <w:p w:rsidR="0018646B" w:rsidRPr="0018646B" w:rsidRDefault="0018646B" w:rsidP="005E32F2">
            <w:pPr>
              <w:autoSpaceDE w:val="0"/>
              <w:autoSpaceDN w:val="0"/>
              <w:adjustRightInd w:val="0"/>
              <w:spacing w:after="40" w:line="161" w:lineRule="atLeast"/>
              <w:ind w:left="0" w:firstLine="0"/>
              <w:rPr>
                <w:rFonts w:cs="PWPDT M+ Frutiger"/>
                <w:color w:val="0000FF"/>
              </w:rPr>
            </w:pPr>
            <w:r w:rsidRPr="0018646B">
              <w:rPr>
                <w:rFonts w:cs="PWPDT M+ Frutiger"/>
                <w:color w:val="0000FF"/>
              </w:rPr>
              <w:t xml:space="preserve">We are very confident that the true effect lies close to that of the estimate of the effect </w:t>
            </w:r>
          </w:p>
        </w:tc>
      </w:tr>
      <w:tr w:rsidR="0018646B" w:rsidRPr="0018646B" w:rsidTr="005E32F2">
        <w:trPr>
          <w:trHeight w:val="265"/>
        </w:trPr>
        <w:tc>
          <w:tcPr>
            <w:tcW w:w="1104" w:type="pct"/>
          </w:tcPr>
          <w:p w:rsidR="0018646B" w:rsidRPr="0018646B" w:rsidRDefault="0018646B" w:rsidP="005E32F2">
            <w:pPr>
              <w:autoSpaceDE w:val="0"/>
              <w:autoSpaceDN w:val="0"/>
              <w:adjustRightInd w:val="0"/>
              <w:spacing w:line="161" w:lineRule="atLeast"/>
              <w:ind w:left="0" w:firstLine="0"/>
              <w:rPr>
                <w:rFonts w:cs="Frutiger 47LightCn"/>
                <w:color w:val="0000FF"/>
              </w:rPr>
            </w:pPr>
            <w:r w:rsidRPr="0018646B">
              <w:rPr>
                <w:rFonts w:cs="Frutiger 47LightCn"/>
                <w:b/>
                <w:bCs/>
                <w:color w:val="0000FF"/>
              </w:rPr>
              <w:t xml:space="preserve">Middle </w:t>
            </w:r>
          </w:p>
        </w:tc>
        <w:tc>
          <w:tcPr>
            <w:tcW w:w="3896" w:type="pct"/>
          </w:tcPr>
          <w:p w:rsidR="0018646B" w:rsidRPr="0018646B" w:rsidRDefault="0018646B" w:rsidP="005E32F2">
            <w:pPr>
              <w:autoSpaceDE w:val="0"/>
              <w:autoSpaceDN w:val="0"/>
              <w:adjustRightInd w:val="0"/>
              <w:spacing w:before="40" w:line="161" w:lineRule="atLeast"/>
              <w:ind w:left="0" w:firstLine="0"/>
              <w:rPr>
                <w:rFonts w:cs="PWPDT M+ Frutiger"/>
                <w:color w:val="0000FF"/>
              </w:rPr>
            </w:pPr>
            <w:r w:rsidRPr="0018646B">
              <w:rPr>
                <w:rFonts w:cs="PWPDT M+ Frutiger"/>
                <w:color w:val="0000FF"/>
              </w:rPr>
              <w:t xml:space="preserve">We are moderately confident in the effect estimate: the true effect is likely to be close to the estimate of effect, but there is a possibility that it is substantially different </w:t>
            </w:r>
          </w:p>
        </w:tc>
      </w:tr>
      <w:tr w:rsidR="0018646B" w:rsidRPr="0018646B" w:rsidTr="005E32F2">
        <w:trPr>
          <w:trHeight w:val="180"/>
        </w:trPr>
        <w:tc>
          <w:tcPr>
            <w:tcW w:w="1104" w:type="pct"/>
          </w:tcPr>
          <w:p w:rsidR="0018646B" w:rsidRPr="0018646B" w:rsidRDefault="0018646B" w:rsidP="005E32F2">
            <w:pPr>
              <w:autoSpaceDE w:val="0"/>
              <w:autoSpaceDN w:val="0"/>
              <w:adjustRightInd w:val="0"/>
              <w:spacing w:line="161" w:lineRule="atLeast"/>
              <w:ind w:left="0" w:firstLine="0"/>
              <w:rPr>
                <w:rFonts w:cs="Frutiger 47LightCn"/>
                <w:color w:val="0000FF"/>
              </w:rPr>
            </w:pPr>
            <w:r w:rsidRPr="0018646B">
              <w:rPr>
                <w:rFonts w:cs="Frutiger 47LightCn"/>
                <w:b/>
                <w:bCs/>
                <w:color w:val="0000FF"/>
              </w:rPr>
              <w:t xml:space="preserve">Low </w:t>
            </w:r>
          </w:p>
        </w:tc>
        <w:tc>
          <w:tcPr>
            <w:tcW w:w="3896" w:type="pct"/>
          </w:tcPr>
          <w:p w:rsidR="0018646B" w:rsidRPr="0018646B" w:rsidRDefault="0018646B" w:rsidP="005E32F2">
            <w:pPr>
              <w:autoSpaceDE w:val="0"/>
              <w:autoSpaceDN w:val="0"/>
              <w:adjustRightInd w:val="0"/>
              <w:spacing w:before="40" w:line="161" w:lineRule="atLeast"/>
              <w:ind w:left="0" w:firstLine="0"/>
              <w:rPr>
                <w:rFonts w:cs="PWPDT M+ Frutiger"/>
                <w:color w:val="0000FF"/>
              </w:rPr>
            </w:pPr>
            <w:r w:rsidRPr="0018646B">
              <w:rPr>
                <w:rFonts w:cs="PWPDT M+ Frutiger"/>
                <w:color w:val="0000FF"/>
              </w:rPr>
              <w:t xml:space="preserve">Our confidence in the effect estimate is limited: the true effect may be substantially different from the estimate of the effect </w:t>
            </w:r>
          </w:p>
        </w:tc>
      </w:tr>
      <w:tr w:rsidR="0018646B" w:rsidRPr="0018646B" w:rsidTr="005E32F2">
        <w:trPr>
          <w:trHeight w:val="180"/>
        </w:trPr>
        <w:tc>
          <w:tcPr>
            <w:tcW w:w="1104" w:type="pct"/>
          </w:tcPr>
          <w:p w:rsidR="0018646B" w:rsidRPr="0018646B" w:rsidRDefault="0018646B" w:rsidP="005E32F2">
            <w:pPr>
              <w:autoSpaceDE w:val="0"/>
              <w:autoSpaceDN w:val="0"/>
              <w:adjustRightInd w:val="0"/>
              <w:spacing w:line="161" w:lineRule="atLeast"/>
              <w:ind w:left="0" w:firstLine="0"/>
              <w:rPr>
                <w:rFonts w:cs="Frutiger 47LightCn"/>
                <w:color w:val="0000FF"/>
              </w:rPr>
            </w:pPr>
            <w:r w:rsidRPr="0018646B">
              <w:rPr>
                <w:rFonts w:cs="Frutiger 47LightCn"/>
                <w:b/>
                <w:bCs/>
                <w:color w:val="0000FF"/>
              </w:rPr>
              <w:t xml:space="preserve">Very low </w:t>
            </w:r>
          </w:p>
        </w:tc>
        <w:tc>
          <w:tcPr>
            <w:tcW w:w="3896" w:type="pct"/>
          </w:tcPr>
          <w:p w:rsidR="0018646B" w:rsidRPr="0018646B" w:rsidRDefault="0018646B" w:rsidP="005E32F2">
            <w:pPr>
              <w:autoSpaceDE w:val="0"/>
              <w:autoSpaceDN w:val="0"/>
              <w:adjustRightInd w:val="0"/>
              <w:spacing w:before="40" w:line="161" w:lineRule="atLeast"/>
              <w:ind w:left="0" w:firstLine="0"/>
              <w:rPr>
                <w:rFonts w:cs="PWPDT M+ Frutiger"/>
                <w:color w:val="0000FF"/>
              </w:rPr>
            </w:pPr>
            <w:r w:rsidRPr="0018646B">
              <w:rPr>
                <w:rFonts w:cs="PWPDT M+ Frutiger"/>
                <w:color w:val="0000FF"/>
              </w:rPr>
              <w:t>We have very little confidence in the effect estimate: the true effect is likely to be substantially different from the estimate of the effect</w:t>
            </w:r>
          </w:p>
        </w:tc>
      </w:tr>
    </w:tbl>
    <w:p w:rsidR="0018646B" w:rsidRPr="0018646B" w:rsidRDefault="0018646B" w:rsidP="0018646B">
      <w:pPr>
        <w:ind w:left="432" w:hanging="432"/>
        <w:rPr>
          <w:b/>
          <w:color w:val="0000FF"/>
        </w:rPr>
      </w:pPr>
    </w:p>
    <w:p w:rsidR="0018646B" w:rsidRPr="0018646B" w:rsidRDefault="0018646B" w:rsidP="0018646B">
      <w:pPr>
        <w:autoSpaceDE w:val="0"/>
        <w:autoSpaceDN w:val="0"/>
        <w:adjustRightInd w:val="0"/>
        <w:spacing w:before="40" w:after="80" w:line="221" w:lineRule="atLeast"/>
        <w:ind w:left="760" w:hanging="760"/>
        <w:rPr>
          <w:rFonts w:cs="PWPDT M+ Trade Gothic"/>
          <w:color w:val="0000FF"/>
        </w:rPr>
      </w:pPr>
      <w:r w:rsidRPr="0018646B">
        <w:rPr>
          <w:rFonts w:cs="PWPDT M+ Trade Gothic"/>
          <w:b/>
          <w:bCs/>
          <w:color w:val="0000FF"/>
        </w:rPr>
        <w:t xml:space="preserve">Strength of the recommendations </w:t>
      </w:r>
    </w:p>
    <w:p w:rsidR="0018646B" w:rsidRPr="0018646B" w:rsidRDefault="0018646B" w:rsidP="0018646B">
      <w:pPr>
        <w:autoSpaceDE w:val="0"/>
        <w:autoSpaceDN w:val="0"/>
        <w:adjustRightInd w:val="0"/>
        <w:spacing w:after="160" w:line="201" w:lineRule="atLeast"/>
        <w:ind w:left="0" w:firstLine="0"/>
        <w:rPr>
          <w:rFonts w:cs="PWPDT M+ Frutiger"/>
          <w:color w:val="0000FF"/>
        </w:rPr>
      </w:pPr>
      <w:r w:rsidRPr="0018646B">
        <w:rPr>
          <w:rFonts w:cs="PWPDT M+ Frutiger"/>
          <w:color w:val="0000FF"/>
        </w:rPr>
        <w:t xml:space="preserve">The strength of a recommendation can be either strong or conditional. </w:t>
      </w:r>
    </w:p>
    <w:p w:rsidR="0018646B" w:rsidRPr="0018646B" w:rsidRDefault="0018646B" w:rsidP="0018646B">
      <w:pPr>
        <w:autoSpaceDE w:val="0"/>
        <w:autoSpaceDN w:val="0"/>
        <w:adjustRightInd w:val="0"/>
        <w:spacing w:after="160" w:line="201" w:lineRule="atLeast"/>
        <w:ind w:left="0" w:firstLine="0"/>
        <w:rPr>
          <w:rFonts w:cs="PWPDT M+ Frutiger"/>
          <w:color w:val="0000FF"/>
        </w:rPr>
      </w:pPr>
      <w:r w:rsidRPr="0018646B">
        <w:rPr>
          <w:rFonts w:cs="Frutiger 47LightCn"/>
          <w:b/>
          <w:bCs/>
          <w:color w:val="0000FF"/>
        </w:rPr>
        <w:t xml:space="preserve">A strong recommendation </w:t>
      </w:r>
      <w:r w:rsidRPr="0018646B">
        <w:rPr>
          <w:rFonts w:cs="PWPDT M+ Frutiger"/>
          <w:color w:val="0000FF"/>
        </w:rPr>
        <w:t xml:space="preserve">is one for which there is confidence that the desirable effects of adherence to the recommendation clearly outweigh the undesirable effects. </w:t>
      </w:r>
    </w:p>
    <w:p w:rsidR="0018646B" w:rsidRPr="0018646B" w:rsidRDefault="0018646B" w:rsidP="0018646B">
      <w:pPr>
        <w:ind w:left="432" w:hanging="432"/>
        <w:rPr>
          <w:rFonts w:cs="PWPDT M+ Frutiger"/>
          <w:color w:val="0000FF"/>
        </w:rPr>
      </w:pPr>
      <w:r w:rsidRPr="0018646B">
        <w:rPr>
          <w:rFonts w:cs="Frutiger 47LightCn"/>
          <w:b/>
          <w:bCs/>
          <w:color w:val="0000FF"/>
        </w:rPr>
        <w:t xml:space="preserve">A conditional recommendation </w:t>
      </w:r>
      <w:r w:rsidRPr="0018646B">
        <w:rPr>
          <w:rFonts w:cs="PWPDT M+ Frutiger"/>
          <w:color w:val="0000FF"/>
        </w:rPr>
        <w:t>is one for which the Guideline Development Group concludes that the desirable effects of adherence to the recommendation probably outweigh the undesirable effects or are closely balanced, but the Groups are not confident about these trade-offs in all situations. At implementation, monitoring and rigorous evaluation is needed to address these uncertainties, which are likely to provide new evidence that may change the calculation of the balance of trade-offs and to suggest how to overcome any implementation challenges.</w:t>
      </w:r>
    </w:p>
    <w:p w:rsidR="0018646B" w:rsidRPr="0018646B" w:rsidRDefault="0018646B" w:rsidP="0018646B">
      <w:pPr>
        <w:ind w:left="432" w:hanging="432"/>
        <w:rPr>
          <w:b/>
          <w:color w:val="0000FF"/>
        </w:rPr>
      </w:pPr>
    </w:p>
    <w:p w:rsidR="00496AF8" w:rsidRPr="0018646B" w:rsidRDefault="00496AF8" w:rsidP="002E2177">
      <w:pPr>
        <w:ind w:left="432" w:hanging="432"/>
      </w:pPr>
      <w:r w:rsidRPr="0018646B">
        <w:rPr>
          <w:b/>
          <w:noProof/>
          <w:color w:val="0000FF"/>
        </w:rPr>
        <w:t>1</w:t>
      </w:r>
      <w:r w:rsidR="00837121" w:rsidRPr="0018646B">
        <w:rPr>
          <w:b/>
          <w:noProof/>
          <w:color w:val="0000FF"/>
        </w:rPr>
        <w:t>a</w:t>
      </w:r>
      <w:r w:rsidRPr="0018646B">
        <w:rPr>
          <w:b/>
          <w:noProof/>
          <w:color w:val="0000FF"/>
        </w:rPr>
        <w:t>.</w:t>
      </w:r>
      <w:r w:rsidR="00EE5AF6" w:rsidRPr="0018646B">
        <w:rPr>
          <w:b/>
          <w:noProof/>
          <w:color w:val="0000FF"/>
        </w:rPr>
        <w:t>7.</w:t>
      </w:r>
      <w:r w:rsidR="00095EC9" w:rsidRPr="0018646B">
        <w:rPr>
          <w:b/>
          <w:noProof/>
          <w:color w:val="0000FF"/>
        </w:rPr>
        <w:t>4</w:t>
      </w:r>
      <w:r w:rsidR="00DA7FA2" w:rsidRPr="0018646B">
        <w:rPr>
          <w:b/>
          <w:noProof/>
          <w:color w:val="0000FF"/>
        </w:rPr>
        <w:t>.</w:t>
      </w:r>
      <w:r w:rsidRPr="0018646B">
        <w:rPr>
          <w:noProof/>
        </w:rPr>
        <w:t xml:space="preserve"> </w:t>
      </w:r>
      <w:r w:rsidRPr="0018646B">
        <w:rPr>
          <w:b/>
          <w:noProof/>
        </w:rPr>
        <w:t>What is the time period covered by the body of evidence? (</w:t>
      </w:r>
      <w:r w:rsidRPr="0018646B">
        <w:rPr>
          <w:b/>
          <w:i/>
          <w:noProof/>
        </w:rPr>
        <w:t>provide the date range, e.g., 1990-2010</w:t>
      </w:r>
      <w:r w:rsidRPr="0018646B">
        <w:rPr>
          <w:b/>
          <w:noProof/>
        </w:rPr>
        <w:t xml:space="preserve">).  </w:t>
      </w:r>
      <w:r w:rsidRPr="0018646B">
        <w:rPr>
          <w:b/>
        </w:rPr>
        <w:t>Date range</w:t>
      </w:r>
      <w:r w:rsidRPr="0018646B">
        <w:t xml:space="preserve">:  </w:t>
      </w:r>
      <w:sdt>
        <w:sdtPr>
          <w:rPr>
            <w:rStyle w:val="Style2"/>
          </w:rPr>
          <w:id w:val="-1666395719"/>
        </w:sdtPr>
        <w:sdtEndPr>
          <w:rPr>
            <w:rStyle w:val="DefaultParagraphFont"/>
            <w:color w:val="auto"/>
            <w:u w:val="none"/>
          </w:rPr>
        </w:sdtEndPr>
        <w:sdtContent>
          <w:r w:rsidR="002D37F5" w:rsidRPr="0018646B">
            <w:rPr>
              <w:rStyle w:val="Style2"/>
            </w:rPr>
            <w:t xml:space="preserve">2016 </w:t>
          </w:r>
          <w:r w:rsidR="00836AE4" w:rsidRPr="0018646B">
            <w:rPr>
              <w:rStyle w:val="Style2"/>
            </w:rPr>
            <w:t>WHO Guidelines</w:t>
          </w:r>
          <w:r w:rsidR="002D37F5" w:rsidRPr="0018646B">
            <w:rPr>
              <w:rStyle w:val="Style2"/>
            </w:rPr>
            <w:t xml:space="preserve">: </w:t>
          </w:r>
          <w:r w:rsidR="002D37F5" w:rsidRPr="0018646B">
            <w:t>1 January 1996 to 27 February 2015. DHHS guidelines include the START trial as well, results from which were published in August 2015.</w:t>
          </w:r>
          <w:r w:rsidR="002D37F5" w:rsidRPr="0018646B">
            <w:rPr>
              <w:rStyle w:val="Style2"/>
            </w:rPr>
            <w:t>\</w:t>
          </w:r>
        </w:sdtContent>
      </w:sdt>
    </w:p>
    <w:p w:rsidR="00496AF8" w:rsidRPr="0018646B" w:rsidRDefault="00496AF8" w:rsidP="002E2177">
      <w:pPr>
        <w:ind w:left="0" w:firstLine="0"/>
        <w:rPr>
          <w:noProof/>
        </w:rPr>
      </w:pPr>
    </w:p>
    <w:p w:rsidR="00496AF8" w:rsidRPr="0018646B" w:rsidRDefault="00C5180E" w:rsidP="002E2177">
      <w:pPr>
        <w:ind w:left="0" w:firstLine="0"/>
        <w:rPr>
          <w:b/>
        </w:rPr>
      </w:pPr>
      <w:r w:rsidRPr="0018646B">
        <w:rPr>
          <w:b/>
          <w:noProof/>
        </w:rPr>
        <w:t>QUANTITY AND QUALITY OF BODY OF EVIDENCE</w:t>
      </w:r>
    </w:p>
    <w:p w:rsidR="009B5BEA" w:rsidRPr="0018646B" w:rsidRDefault="001B772D" w:rsidP="002E2177">
      <w:pPr>
        <w:ind w:left="432" w:hanging="432"/>
      </w:pPr>
      <w:r w:rsidRPr="0018646B">
        <w:rPr>
          <w:b/>
          <w:noProof/>
          <w:color w:val="0000FF"/>
        </w:rPr>
        <w:t>1</w:t>
      </w:r>
      <w:r w:rsidR="00837121" w:rsidRPr="0018646B">
        <w:rPr>
          <w:b/>
          <w:noProof/>
          <w:color w:val="0000FF"/>
        </w:rPr>
        <w:t>a</w:t>
      </w:r>
      <w:r w:rsidRPr="0018646B">
        <w:rPr>
          <w:b/>
          <w:noProof/>
          <w:color w:val="0000FF"/>
        </w:rPr>
        <w:t>.</w:t>
      </w:r>
      <w:r w:rsidR="00EE5AF6" w:rsidRPr="0018646B">
        <w:rPr>
          <w:b/>
          <w:noProof/>
          <w:color w:val="0000FF"/>
        </w:rPr>
        <w:t>7.</w:t>
      </w:r>
      <w:r w:rsidR="00095EC9" w:rsidRPr="0018646B">
        <w:rPr>
          <w:b/>
          <w:noProof/>
          <w:color w:val="0000FF"/>
        </w:rPr>
        <w:t>5</w:t>
      </w:r>
      <w:r w:rsidRPr="0018646B">
        <w:rPr>
          <w:b/>
          <w:noProof/>
          <w:color w:val="0000FF"/>
        </w:rPr>
        <w:t>.</w:t>
      </w:r>
      <w:r w:rsidRPr="0018646B">
        <w:rPr>
          <w:i/>
          <w:noProof/>
          <w:color w:val="0000FF"/>
        </w:rPr>
        <w:t xml:space="preserve"> </w:t>
      </w:r>
      <w:r w:rsidR="00496AF8" w:rsidRPr="0018646B">
        <w:rPr>
          <w:b/>
          <w:noProof/>
        </w:rPr>
        <w:t>How many and what type of study designs are in</w:t>
      </w:r>
      <w:r w:rsidR="006F760B" w:rsidRPr="0018646B">
        <w:rPr>
          <w:b/>
          <w:noProof/>
        </w:rPr>
        <w:t>c</w:t>
      </w:r>
      <w:r w:rsidR="00496AF8" w:rsidRPr="0018646B">
        <w:rPr>
          <w:b/>
          <w:noProof/>
        </w:rPr>
        <w:t>luded in the body of evidence</w:t>
      </w:r>
      <w:r w:rsidR="00496AF8" w:rsidRPr="0018646B">
        <w:rPr>
          <w:noProof/>
        </w:rPr>
        <w:t>? (</w:t>
      </w:r>
      <w:r w:rsidR="00496AF8" w:rsidRPr="0018646B">
        <w:rPr>
          <w:i/>
          <w:noProof/>
        </w:rPr>
        <w:t>e.g., 3 randomized controlled trials and 1 observational study</w:t>
      </w:r>
      <w:r w:rsidR="00496AF8" w:rsidRPr="0018646B">
        <w:rPr>
          <w:noProof/>
        </w:rPr>
        <w:t>)</w:t>
      </w:r>
      <w:r w:rsidR="009E37BD" w:rsidRPr="0018646B">
        <w:rPr>
          <w:noProof/>
        </w:rPr>
        <w:t xml:space="preserve"> </w:t>
      </w:r>
    </w:p>
    <w:p w:rsidR="00E3323C" w:rsidRPr="0018646B" w:rsidRDefault="00E3323C" w:rsidP="00996BDD">
      <w:pPr>
        <w:autoSpaceDE w:val="0"/>
        <w:autoSpaceDN w:val="0"/>
        <w:adjustRightInd w:val="0"/>
        <w:ind w:left="0" w:firstLine="0"/>
        <w:rPr>
          <w:rFonts w:cs="Helvetica-Bold"/>
          <w:b/>
          <w:bCs/>
          <w:color w:val="004376"/>
        </w:rPr>
      </w:pPr>
    </w:p>
    <w:p w:rsidR="00B97C98" w:rsidRPr="0018646B" w:rsidRDefault="00B97C98" w:rsidP="00996BDD">
      <w:pPr>
        <w:autoSpaceDE w:val="0"/>
        <w:autoSpaceDN w:val="0"/>
        <w:adjustRightInd w:val="0"/>
        <w:ind w:left="0" w:firstLine="0"/>
        <w:rPr>
          <w:rFonts w:cs="TimesNewRomanPSMT"/>
          <w:color w:val="000000"/>
        </w:rPr>
      </w:pPr>
    </w:p>
    <w:p w:rsidR="003E6C57" w:rsidRPr="0018646B" w:rsidRDefault="00B97C98" w:rsidP="00B97C98">
      <w:pPr>
        <w:pStyle w:val="ListParagraph"/>
        <w:ind w:left="0" w:firstLine="0"/>
        <w:rPr>
          <w:b/>
        </w:rPr>
      </w:pPr>
      <w:r w:rsidRPr="0018646B">
        <w:rPr>
          <w:b/>
        </w:rPr>
        <w:t>WHO Guidelines (2016)</w:t>
      </w:r>
      <w:r w:rsidR="00081487" w:rsidRPr="0018646B">
        <w:rPr>
          <w:b/>
        </w:rPr>
        <w:t xml:space="preserve"> </w:t>
      </w:r>
      <w:hyperlink r:id="rId28" w:history="1">
        <w:r w:rsidR="003E6C57" w:rsidRPr="0018646B">
          <w:rPr>
            <w:rStyle w:val="Hyperlink"/>
            <w:b/>
          </w:rPr>
          <w:t>http://apps.who.int/iris/bitstream/10665/189977/1/WHO_HIV_2015.36_eng.pdf?ua=1</w:t>
        </w:r>
      </w:hyperlink>
    </w:p>
    <w:p w:rsidR="00F10B9E" w:rsidRPr="0018646B" w:rsidRDefault="00F10B9E" w:rsidP="00F10B9E">
      <w:pPr>
        <w:autoSpaceDE w:val="0"/>
        <w:autoSpaceDN w:val="0"/>
        <w:adjustRightInd w:val="0"/>
        <w:ind w:left="0" w:firstLine="0"/>
        <w:rPr>
          <w:rFonts w:cs="PWPDT M+ Trade Gothic"/>
          <w:b/>
          <w:bCs/>
          <w:color w:val="57585A"/>
        </w:rPr>
      </w:pPr>
      <w:r w:rsidRPr="0018646B">
        <w:rPr>
          <w:rFonts w:cs="PWPDT M+ Trade Gothic"/>
          <w:b/>
          <w:bCs/>
          <w:color w:val="57585A"/>
        </w:rPr>
        <w:t xml:space="preserve">Routine versus targeted viral load monitoring to detect viral failure </w:t>
      </w:r>
    </w:p>
    <w:p w:rsidR="00CF1AED" w:rsidRPr="0018646B" w:rsidRDefault="00CF1AED" w:rsidP="00F10B9E">
      <w:pPr>
        <w:autoSpaceDE w:val="0"/>
        <w:autoSpaceDN w:val="0"/>
        <w:adjustRightInd w:val="0"/>
        <w:ind w:left="0" w:firstLine="0"/>
        <w:rPr>
          <w:rFonts w:cs="PWPDT M+ Frutiger"/>
          <w:color w:val="57585A"/>
        </w:rPr>
      </w:pPr>
      <w:r w:rsidRPr="0018646B">
        <w:rPr>
          <w:rFonts w:cs="PWPDT M+ Frutiger"/>
          <w:color w:val="57585A"/>
        </w:rPr>
        <w:t xml:space="preserve">The WHO guidelines reference the following </w:t>
      </w:r>
      <w:r w:rsidR="00F10B9E" w:rsidRPr="0018646B">
        <w:rPr>
          <w:rFonts w:cs="PWPDT M+ Frutiger"/>
          <w:color w:val="57585A"/>
        </w:rPr>
        <w:t>systematic review</w:t>
      </w:r>
      <w:r w:rsidRPr="0018646B">
        <w:rPr>
          <w:rFonts w:cs="PWPDT M+ Frutiger"/>
          <w:color w:val="57585A"/>
        </w:rPr>
        <w:t xml:space="preserve">, which was conducted to </w:t>
      </w:r>
      <w:r w:rsidR="00F10B9E" w:rsidRPr="0018646B">
        <w:rPr>
          <w:rFonts w:cs="PWPDT M+ Frutiger"/>
          <w:color w:val="57585A"/>
        </w:rPr>
        <w:t>assess the optimal timing for initial viral load testing and thereafter</w:t>
      </w:r>
      <w:r w:rsidRPr="0018646B">
        <w:rPr>
          <w:rFonts w:cs="PWPDT M+ Frutiger"/>
          <w:color w:val="57585A"/>
        </w:rPr>
        <w:t>:</w:t>
      </w:r>
    </w:p>
    <w:p w:rsidR="00CF1AED" w:rsidRPr="0018646B" w:rsidRDefault="00CF1AED" w:rsidP="00F10B9E">
      <w:pPr>
        <w:autoSpaceDE w:val="0"/>
        <w:autoSpaceDN w:val="0"/>
        <w:adjustRightInd w:val="0"/>
        <w:ind w:left="0" w:firstLine="0"/>
        <w:rPr>
          <w:rFonts w:cs="PWPDT M+ Frutiger"/>
          <w:color w:val="57585A"/>
        </w:rPr>
      </w:pPr>
    </w:p>
    <w:p w:rsidR="00CF1AED" w:rsidRPr="0018646B" w:rsidRDefault="00CF1AED" w:rsidP="00F10B9E">
      <w:pPr>
        <w:autoSpaceDE w:val="0"/>
        <w:autoSpaceDN w:val="0"/>
        <w:adjustRightInd w:val="0"/>
        <w:ind w:left="0" w:firstLine="0"/>
        <w:rPr>
          <w:rFonts w:cs="PWPDT M+ Frutiger"/>
          <w:color w:val="57585A"/>
        </w:rPr>
      </w:pPr>
      <w:r w:rsidRPr="0018646B">
        <w:rPr>
          <w:rFonts w:cs="PWPDT M+ Frutiger"/>
          <w:color w:val="57585A"/>
        </w:rPr>
        <w:t>Mallett S, Karkourou A, Iokwundu C, Young T, Deeks J, Soares-Weiser K et al. A systematic review of initial viral load (VL) testing after ART initiation. Enhance Reviews. 2015. Web Supplement B. (Reference # 380, Chapter 4)</w:t>
      </w:r>
    </w:p>
    <w:p w:rsidR="00CF1AED" w:rsidRPr="0018646B" w:rsidRDefault="00CF1AED" w:rsidP="00F10B9E">
      <w:pPr>
        <w:autoSpaceDE w:val="0"/>
        <w:autoSpaceDN w:val="0"/>
        <w:adjustRightInd w:val="0"/>
        <w:ind w:left="0" w:firstLine="0"/>
        <w:rPr>
          <w:rFonts w:cs="PWPDT M+ Frutiger"/>
          <w:color w:val="57585A"/>
        </w:rPr>
      </w:pPr>
    </w:p>
    <w:p w:rsidR="00F10B9E" w:rsidRPr="0018646B" w:rsidRDefault="00CF1AED" w:rsidP="00F10B9E">
      <w:pPr>
        <w:autoSpaceDE w:val="0"/>
        <w:autoSpaceDN w:val="0"/>
        <w:adjustRightInd w:val="0"/>
        <w:ind w:left="0" w:firstLine="0"/>
        <w:rPr>
          <w:rFonts w:eastAsia="Myriad Pro Cond" w:cs="PWPDT M+ Frutiger"/>
          <w:color w:val="57585A"/>
        </w:rPr>
      </w:pPr>
      <w:r w:rsidRPr="0018646B">
        <w:rPr>
          <w:rFonts w:cs="PWPDT M+ Frutiger"/>
          <w:color w:val="57585A"/>
        </w:rPr>
        <w:t>Unfortunately, CDC staff were unable to locate a copy of this review online</w:t>
      </w:r>
      <w:r w:rsidR="00B033F1" w:rsidRPr="0018646B">
        <w:rPr>
          <w:rFonts w:cs="PWPDT M+ Frutiger"/>
          <w:color w:val="57585A"/>
        </w:rPr>
        <w:t>, so the number of studies included is unclear.</w:t>
      </w:r>
    </w:p>
    <w:p w:rsidR="00F10B9E" w:rsidRPr="0018646B" w:rsidRDefault="00F10B9E" w:rsidP="00F10B9E">
      <w:pPr>
        <w:autoSpaceDE w:val="0"/>
        <w:autoSpaceDN w:val="0"/>
        <w:adjustRightInd w:val="0"/>
        <w:ind w:left="0" w:firstLine="0"/>
        <w:rPr>
          <w:rFonts w:cs="PWPDT M+ Trade Gothic"/>
          <w:b/>
          <w:bCs/>
          <w:color w:val="57585A"/>
        </w:rPr>
      </w:pPr>
    </w:p>
    <w:p w:rsidR="00F10B9E" w:rsidRPr="0018646B" w:rsidRDefault="00F10B9E" w:rsidP="00F10B9E">
      <w:pPr>
        <w:autoSpaceDE w:val="0"/>
        <w:autoSpaceDN w:val="0"/>
        <w:adjustRightInd w:val="0"/>
        <w:ind w:left="0" w:firstLine="0"/>
        <w:rPr>
          <w:rFonts w:cs="PWPDT M+ Trade Gothic"/>
          <w:b/>
          <w:bCs/>
          <w:color w:val="57585A"/>
        </w:rPr>
      </w:pPr>
      <w:r w:rsidRPr="0018646B">
        <w:rPr>
          <w:rFonts w:cs="PWPDT M+ Trade Gothic"/>
          <w:b/>
          <w:bCs/>
          <w:color w:val="57585A"/>
        </w:rPr>
        <w:t>Stopping CD4 count monitoring where viral load testing is available</w:t>
      </w:r>
    </w:p>
    <w:p w:rsidR="001C60C8" w:rsidRPr="0018646B" w:rsidRDefault="00CF1AED" w:rsidP="0064473C">
      <w:pPr>
        <w:pStyle w:val="Pa1"/>
        <w:spacing w:after="160"/>
        <w:rPr>
          <w:rFonts w:asciiTheme="minorHAnsi" w:hAnsiTheme="minorHAnsi" w:cs="PWPDT M+ Frutiger"/>
          <w:color w:val="57585A"/>
          <w:sz w:val="22"/>
          <w:szCs w:val="22"/>
        </w:rPr>
      </w:pPr>
      <w:r w:rsidRPr="0018646B">
        <w:rPr>
          <w:rFonts w:asciiTheme="minorHAnsi" w:hAnsiTheme="minorHAnsi" w:cs="PWPDT M+ Frutiger"/>
          <w:color w:val="57585A"/>
          <w:sz w:val="22"/>
          <w:szCs w:val="22"/>
        </w:rPr>
        <w:t>The WHO guidelin</w:t>
      </w:r>
      <w:r w:rsidR="001C60C8" w:rsidRPr="0018646B">
        <w:rPr>
          <w:rFonts w:asciiTheme="minorHAnsi" w:hAnsiTheme="minorHAnsi" w:cs="PWPDT M+ Frutiger"/>
          <w:color w:val="57585A"/>
          <w:sz w:val="22"/>
          <w:szCs w:val="22"/>
        </w:rPr>
        <w:t>es reference the following source:</w:t>
      </w:r>
    </w:p>
    <w:p w:rsidR="001C60C8" w:rsidRPr="0018646B" w:rsidRDefault="001C60C8" w:rsidP="001C60C8">
      <w:pPr>
        <w:pStyle w:val="Pa1"/>
        <w:spacing w:after="160"/>
        <w:rPr>
          <w:rFonts w:asciiTheme="minorHAnsi" w:hAnsiTheme="minorHAnsi" w:cs="PWPDT M+ Frutiger"/>
          <w:color w:val="57585A"/>
          <w:sz w:val="22"/>
          <w:szCs w:val="22"/>
        </w:rPr>
      </w:pPr>
      <w:r w:rsidRPr="0018646B">
        <w:rPr>
          <w:rFonts w:asciiTheme="minorHAnsi" w:hAnsiTheme="minorHAnsi" w:cs="PWPDT M+ Frutiger"/>
          <w:color w:val="57585A"/>
          <w:sz w:val="22"/>
          <w:szCs w:val="22"/>
        </w:rPr>
        <w:t>Ford N, Stinson K, Gale H, Mills E, Stevens W, Pérez González M et al. CD4 changes among virologically</w:t>
      </w:r>
    </w:p>
    <w:p w:rsidR="001C60C8" w:rsidRPr="0018646B" w:rsidRDefault="001C60C8" w:rsidP="001C60C8">
      <w:pPr>
        <w:pStyle w:val="Pa1"/>
        <w:spacing w:after="160"/>
        <w:rPr>
          <w:rFonts w:asciiTheme="minorHAnsi" w:hAnsiTheme="minorHAnsi" w:cs="PWPDT M+ Frutiger"/>
          <w:color w:val="57585A"/>
          <w:sz w:val="22"/>
          <w:szCs w:val="22"/>
        </w:rPr>
      </w:pPr>
      <w:r w:rsidRPr="0018646B">
        <w:rPr>
          <w:rFonts w:asciiTheme="minorHAnsi" w:hAnsiTheme="minorHAnsi" w:cs="PWPDT M+ Frutiger"/>
          <w:color w:val="57585A"/>
          <w:sz w:val="22"/>
          <w:szCs w:val="22"/>
        </w:rPr>
        <w:t>suppressed patients on antiretroviral therapy: a systematic review and meta-analysis. J Int AIDS Soc.</w:t>
      </w:r>
    </w:p>
    <w:p w:rsidR="001C60C8" w:rsidRPr="0018646B" w:rsidRDefault="001C60C8" w:rsidP="001C60C8">
      <w:pPr>
        <w:pStyle w:val="Pa1"/>
        <w:spacing w:after="160"/>
        <w:rPr>
          <w:rFonts w:asciiTheme="minorHAnsi" w:hAnsiTheme="minorHAnsi" w:cs="PWPDT M+ Frutiger"/>
          <w:color w:val="57585A"/>
          <w:sz w:val="22"/>
          <w:szCs w:val="22"/>
        </w:rPr>
      </w:pPr>
      <w:r w:rsidRPr="0018646B">
        <w:rPr>
          <w:rFonts w:asciiTheme="minorHAnsi" w:hAnsiTheme="minorHAnsi" w:cs="PWPDT M+ Frutiger"/>
          <w:color w:val="57585A"/>
          <w:sz w:val="22"/>
          <w:szCs w:val="22"/>
        </w:rPr>
        <w:t>2015;18:20061.</w:t>
      </w:r>
    </w:p>
    <w:p w:rsidR="0064473C" w:rsidRPr="0018646B" w:rsidRDefault="001C60C8" w:rsidP="001C60C8">
      <w:pPr>
        <w:pStyle w:val="Pa1"/>
        <w:spacing w:after="160"/>
        <w:rPr>
          <w:rFonts w:asciiTheme="minorHAnsi" w:eastAsia="Myriad Pro Cond" w:hAnsiTheme="minorHAnsi" w:cs="PWPDT M+ Frutiger"/>
          <w:color w:val="57585A"/>
          <w:sz w:val="22"/>
          <w:szCs w:val="22"/>
        </w:rPr>
      </w:pPr>
      <w:r w:rsidRPr="0018646B">
        <w:rPr>
          <w:rFonts w:asciiTheme="minorHAnsi" w:hAnsiTheme="minorHAnsi" w:cs="PWPDT M+ Frutiger"/>
          <w:color w:val="57585A"/>
          <w:sz w:val="22"/>
          <w:szCs w:val="22"/>
        </w:rPr>
        <w:t xml:space="preserve">The aforementioned </w:t>
      </w:r>
      <w:r w:rsidR="00F10B9E" w:rsidRPr="0018646B">
        <w:rPr>
          <w:rFonts w:asciiTheme="minorHAnsi" w:hAnsiTheme="minorHAnsi" w:cs="PWPDT M+ Frutiger"/>
          <w:color w:val="57585A"/>
          <w:sz w:val="22"/>
          <w:szCs w:val="22"/>
        </w:rPr>
        <w:t xml:space="preserve">systematic review identified 13 studies carried out in Asia, Africa, Europe, the United States and Australia and found that CD4 count declines among adults and children who are virally suppressed on ART are rare and mainly transient events that are mostly explained by non-HIV factors, such as concomitant immunosuppressive therapy. </w:t>
      </w:r>
      <w:r w:rsidR="00081487" w:rsidRPr="0018646B">
        <w:rPr>
          <w:rFonts w:asciiTheme="minorHAnsi" w:hAnsiTheme="minorHAnsi" w:cs="PWPDT M+ Frutiger"/>
          <w:color w:val="57585A"/>
          <w:sz w:val="22"/>
          <w:szCs w:val="22"/>
        </w:rPr>
        <w:t>Overall, the evidence suggests that for individuals stable on ART who are monitored virologically, routine monitoring of CD4 could be stopped</w:t>
      </w:r>
      <w:r w:rsidRPr="0018646B">
        <w:rPr>
          <w:rFonts w:asciiTheme="minorHAnsi" w:eastAsia="Myriad Pro Cond" w:hAnsiTheme="minorHAnsi" w:cs="Myriad Pro Cond"/>
          <w:i/>
          <w:iCs/>
          <w:color w:val="57585A"/>
          <w:sz w:val="22"/>
          <w:szCs w:val="22"/>
        </w:rPr>
        <w:t>.</w:t>
      </w:r>
      <w:r w:rsidR="00081487" w:rsidRPr="0018646B">
        <w:rPr>
          <w:rFonts w:asciiTheme="minorHAnsi" w:eastAsia="Myriad Pro Cond" w:hAnsiTheme="minorHAnsi" w:cs="PWPDT M+ Frutiger"/>
          <w:color w:val="57585A"/>
          <w:sz w:val="22"/>
          <w:szCs w:val="22"/>
        </w:rPr>
        <w:t>.</w:t>
      </w:r>
    </w:p>
    <w:p w:rsidR="00F10B9E" w:rsidRPr="0018646B" w:rsidRDefault="00F10B9E" w:rsidP="00F10B9E">
      <w:pPr>
        <w:autoSpaceDE w:val="0"/>
        <w:autoSpaceDN w:val="0"/>
        <w:adjustRightInd w:val="0"/>
        <w:ind w:left="0" w:firstLine="0"/>
        <w:rPr>
          <w:rFonts w:cs="TimesNewRomanPSMT"/>
        </w:rPr>
      </w:pPr>
    </w:p>
    <w:p w:rsidR="0064473C" w:rsidRPr="0018646B" w:rsidRDefault="00F10B9E" w:rsidP="00F10B9E">
      <w:pPr>
        <w:autoSpaceDE w:val="0"/>
        <w:autoSpaceDN w:val="0"/>
        <w:adjustRightInd w:val="0"/>
        <w:ind w:left="0" w:firstLine="0"/>
        <w:rPr>
          <w:rFonts w:cs="TimesNewRomanPSMT"/>
          <w:b/>
        </w:rPr>
      </w:pPr>
      <w:r w:rsidRPr="0018646B">
        <w:rPr>
          <w:rFonts w:cs="TimesNewRomanPSMT"/>
          <w:b/>
        </w:rPr>
        <w:t>TREATMENT</w:t>
      </w:r>
    </w:p>
    <w:p w:rsidR="0064473C" w:rsidRPr="0018646B" w:rsidRDefault="008D348D" w:rsidP="0064473C">
      <w:pPr>
        <w:pStyle w:val="ListParagraph"/>
        <w:ind w:left="0" w:firstLine="0"/>
        <w:rPr>
          <w:b/>
        </w:rPr>
      </w:pPr>
      <w:hyperlink r:id="rId29" w:history="1">
        <w:r w:rsidR="0064473C" w:rsidRPr="0018646B">
          <w:rPr>
            <w:rStyle w:val="Hyperlink"/>
            <w:b/>
          </w:rPr>
          <w:t>http://apps.who.int/iris/bitstream/10665/189977/1/WHO_HIV_2015.36_eng.pdf?ua=1</w:t>
        </w:r>
      </w:hyperlink>
    </w:p>
    <w:p w:rsidR="0064473C" w:rsidRPr="0018646B" w:rsidRDefault="0064473C" w:rsidP="0064473C">
      <w:pPr>
        <w:autoSpaceDE w:val="0"/>
        <w:autoSpaceDN w:val="0"/>
        <w:adjustRightInd w:val="0"/>
        <w:ind w:left="0" w:firstLine="0"/>
        <w:rPr>
          <w:b/>
          <w:bCs/>
        </w:rPr>
      </w:pPr>
      <w:r w:rsidRPr="0018646B">
        <w:rPr>
          <w:b/>
          <w:bCs/>
        </w:rPr>
        <w:t>When to start</w:t>
      </w:r>
      <w:r w:rsidR="00D93E31" w:rsidRPr="0018646B">
        <w:rPr>
          <w:b/>
          <w:bCs/>
        </w:rPr>
        <w:t xml:space="preserve"> ART</w:t>
      </w:r>
      <w:r w:rsidRPr="0018646B">
        <w:rPr>
          <w:b/>
          <w:bCs/>
        </w:rPr>
        <w:t xml:space="preserve"> in asymptomatic HIV+ adults and adolescents</w:t>
      </w:r>
      <w:r w:rsidR="00B033F1" w:rsidRPr="0018646B">
        <w:rPr>
          <w:b/>
          <w:bCs/>
        </w:rPr>
        <w:t>—</w:t>
      </w:r>
    </w:p>
    <w:p w:rsidR="00F10B9E" w:rsidRPr="0018646B" w:rsidRDefault="0064473C" w:rsidP="00D93E31">
      <w:pPr>
        <w:autoSpaceDE w:val="0"/>
        <w:autoSpaceDN w:val="0"/>
        <w:adjustRightInd w:val="0"/>
        <w:ind w:left="0" w:firstLine="0"/>
        <w:rPr>
          <w:rFonts w:cs="Helvetica-Bold"/>
          <w:bCs/>
          <w:color w:val="004376"/>
        </w:rPr>
      </w:pPr>
      <w:r w:rsidRPr="0018646B">
        <w:rPr>
          <w:rFonts w:cs="Helvetica-Bold"/>
          <w:bCs/>
          <w:color w:val="004376"/>
        </w:rPr>
        <w:t>A 2015 WHO systematic review and meta-analysis identified 18 eligible studies, of which 17 were observational studies, including data from large multicohort collaborations (NA-ACCORD, EUROSIDA, ICONA, CASCADE, HIV-CAUSAL) and one was a randomized controlled trial (TEMPRANO-ANRS 12136). Six observational studies reported results from single cohorts that did not appear in other studies, while the remaining 11 observational studies had overlapping study populations.</w:t>
      </w:r>
    </w:p>
    <w:p w:rsidR="001C60C8" w:rsidRPr="0018646B" w:rsidRDefault="001C60C8" w:rsidP="00D93E31">
      <w:pPr>
        <w:autoSpaceDE w:val="0"/>
        <w:autoSpaceDN w:val="0"/>
        <w:adjustRightInd w:val="0"/>
        <w:ind w:left="0" w:firstLine="0"/>
        <w:rPr>
          <w:rFonts w:cs="Helvetica-Bold"/>
          <w:bCs/>
          <w:color w:val="004376"/>
        </w:rPr>
      </w:pPr>
    </w:p>
    <w:p w:rsidR="001C60C8" w:rsidRPr="0018646B" w:rsidRDefault="001C60C8" w:rsidP="00D93E31">
      <w:pPr>
        <w:autoSpaceDE w:val="0"/>
        <w:autoSpaceDN w:val="0"/>
        <w:adjustRightInd w:val="0"/>
        <w:ind w:left="0" w:firstLine="0"/>
        <w:rPr>
          <w:rFonts w:cs="Helvetica-Bold"/>
          <w:b/>
          <w:bCs/>
          <w:color w:val="004376"/>
        </w:rPr>
      </w:pPr>
      <w:r w:rsidRPr="0018646B">
        <w:rPr>
          <w:rFonts w:cs="Helvetica-Bold"/>
          <w:b/>
          <w:bCs/>
          <w:color w:val="004376"/>
        </w:rPr>
        <w:t>NOTE: Shortly after the WHO-commissioned evidence review was completed, results from a second, randomized controlled trial—the START study—were published in the New England journal of medicine.  The findings from this second RCT, as well as the TEMPERANO RCT that was included in the WHO evidence review, subsequently informed the decision by the HHS Panel on Antiretroviral Guidelines for Adults and Adolescents to substantially strengthen its recommendation that ART be initiated for all persons living with HIV, regardless of their CD4 count at time of diagnosis.</w:t>
      </w:r>
    </w:p>
    <w:p w:rsidR="00F10B9E" w:rsidRPr="0018646B" w:rsidRDefault="00F10B9E" w:rsidP="00F10B9E">
      <w:pPr>
        <w:autoSpaceDE w:val="0"/>
        <w:autoSpaceDN w:val="0"/>
        <w:adjustRightInd w:val="0"/>
        <w:ind w:left="0" w:firstLine="0"/>
        <w:rPr>
          <w:rFonts w:cs="TimesNewRomanPSMT"/>
        </w:rPr>
      </w:pPr>
    </w:p>
    <w:p w:rsidR="00B033F1" w:rsidRPr="0018646B" w:rsidRDefault="00B033F1" w:rsidP="00F10B9E">
      <w:pPr>
        <w:autoSpaceDE w:val="0"/>
        <w:autoSpaceDN w:val="0"/>
        <w:adjustRightInd w:val="0"/>
        <w:spacing w:line="161" w:lineRule="atLeast"/>
        <w:ind w:left="0" w:firstLine="0"/>
        <w:rPr>
          <w:rFonts w:cs="PWPDT M+ Frutiger"/>
          <w:b/>
          <w:color w:val="221E1F"/>
        </w:rPr>
      </w:pPr>
      <w:r w:rsidRPr="0018646B">
        <w:rPr>
          <w:b/>
          <w:bCs/>
        </w:rPr>
        <w:t xml:space="preserve">When to start ART in asymptomatic HIV+ adults and adolescents—Initiating ART at CD4 </w:t>
      </w:r>
    </w:p>
    <w:p w:rsidR="00496AF8" w:rsidRPr="0018646B" w:rsidRDefault="00496AF8" w:rsidP="00996BDD">
      <w:pPr>
        <w:autoSpaceDE w:val="0"/>
        <w:autoSpaceDN w:val="0"/>
        <w:adjustRightInd w:val="0"/>
        <w:ind w:left="0" w:firstLine="0"/>
      </w:pPr>
    </w:p>
    <w:p w:rsidR="00496AF8" w:rsidRPr="0018646B" w:rsidRDefault="001B772D" w:rsidP="002E2177">
      <w:pPr>
        <w:ind w:left="432" w:hanging="432"/>
        <w:rPr>
          <w:iCs/>
        </w:rPr>
      </w:pPr>
      <w:r w:rsidRPr="0018646B">
        <w:rPr>
          <w:b/>
          <w:color w:val="0000FF"/>
        </w:rPr>
        <w:t>1</w:t>
      </w:r>
      <w:r w:rsidR="00837121" w:rsidRPr="0018646B">
        <w:rPr>
          <w:b/>
          <w:color w:val="0000FF"/>
        </w:rPr>
        <w:t>a</w:t>
      </w:r>
      <w:r w:rsidRPr="0018646B">
        <w:rPr>
          <w:b/>
          <w:color w:val="0000FF"/>
        </w:rPr>
        <w:t>.</w:t>
      </w:r>
      <w:r w:rsidR="00EE5AF6" w:rsidRPr="0018646B">
        <w:rPr>
          <w:b/>
          <w:color w:val="0000FF"/>
        </w:rPr>
        <w:t>7.</w:t>
      </w:r>
      <w:r w:rsidR="00095EC9" w:rsidRPr="0018646B">
        <w:rPr>
          <w:b/>
          <w:color w:val="0000FF"/>
        </w:rPr>
        <w:t>6</w:t>
      </w:r>
      <w:r w:rsidRPr="0018646B">
        <w:rPr>
          <w:b/>
          <w:color w:val="0000FF"/>
        </w:rPr>
        <w:t>.</w:t>
      </w:r>
      <w:r w:rsidRPr="0018646B">
        <w:t xml:space="preserve"> </w:t>
      </w:r>
      <w:r w:rsidR="00496AF8" w:rsidRPr="0018646B">
        <w:rPr>
          <w:b/>
        </w:rPr>
        <w:t xml:space="preserve">What is the overall quality of evidence </w:t>
      </w:r>
      <w:r w:rsidR="00496AF8" w:rsidRPr="0018646B">
        <w:rPr>
          <w:b/>
          <w:u w:val="single"/>
        </w:rPr>
        <w:t>across studies</w:t>
      </w:r>
      <w:r w:rsidR="00496AF8" w:rsidRPr="0018646B">
        <w:rPr>
          <w:b/>
        </w:rPr>
        <w:t xml:space="preserve"> in the body of evidence</w:t>
      </w:r>
      <w:r w:rsidR="00496AF8" w:rsidRPr="0018646B">
        <w:t>? (</w:t>
      </w:r>
      <w:r w:rsidR="006709EB" w:rsidRPr="0018646B">
        <w:rPr>
          <w:i/>
        </w:rPr>
        <w:t xml:space="preserve">discuss the </w:t>
      </w:r>
      <w:r w:rsidR="00496AF8" w:rsidRPr="0018646B">
        <w:rPr>
          <w:i/>
        </w:rPr>
        <w:t xml:space="preserve">certainty or confidence in the estimates of effect </w:t>
      </w:r>
      <w:r w:rsidR="0039609A" w:rsidRPr="0018646B">
        <w:rPr>
          <w:i/>
        </w:rPr>
        <w:t xml:space="preserve">particularly in relation </w:t>
      </w:r>
      <w:r w:rsidR="00496AF8" w:rsidRPr="0018646B">
        <w:rPr>
          <w:i/>
        </w:rPr>
        <w:t>to study factor</w:t>
      </w:r>
      <w:r w:rsidR="000160E6" w:rsidRPr="0018646B">
        <w:rPr>
          <w:i/>
        </w:rPr>
        <w:t xml:space="preserve">s such as design flaws, </w:t>
      </w:r>
      <w:r w:rsidR="00E57BE2" w:rsidRPr="0018646B">
        <w:rPr>
          <w:i/>
        </w:rPr>
        <w:t xml:space="preserve">imprecision due to </w:t>
      </w:r>
      <w:r w:rsidR="000160E6" w:rsidRPr="0018646B">
        <w:rPr>
          <w:i/>
        </w:rPr>
        <w:t xml:space="preserve">small numbers, indirectness </w:t>
      </w:r>
      <w:r w:rsidR="00E57BE2" w:rsidRPr="0018646B">
        <w:rPr>
          <w:i/>
        </w:rPr>
        <w:t xml:space="preserve">of studies </w:t>
      </w:r>
      <w:r w:rsidR="000160E6" w:rsidRPr="0018646B">
        <w:rPr>
          <w:i/>
        </w:rPr>
        <w:t>to the measure focus or target population</w:t>
      </w:r>
      <w:r w:rsidR="00496AF8" w:rsidRPr="0018646B">
        <w:rPr>
          <w:iCs/>
        </w:rPr>
        <w:t>)</w:t>
      </w:r>
      <w:r w:rsidR="000D649E" w:rsidRPr="0018646B">
        <w:rPr>
          <w:iCs/>
        </w:rPr>
        <w:t xml:space="preserve">  </w:t>
      </w:r>
    </w:p>
    <w:p w:rsidR="00996BDD" w:rsidRDefault="00996BDD" w:rsidP="00996BDD">
      <w:pPr>
        <w:autoSpaceDE w:val="0"/>
        <w:autoSpaceDN w:val="0"/>
        <w:adjustRightInd w:val="0"/>
        <w:ind w:left="0" w:firstLine="0"/>
        <w:rPr>
          <w:rFonts w:cs="TimesNewRomanPSMT"/>
        </w:rPr>
      </w:pPr>
    </w:p>
    <w:p w:rsidR="0024431B" w:rsidRDefault="0024431B" w:rsidP="00996BDD">
      <w:pPr>
        <w:autoSpaceDE w:val="0"/>
        <w:autoSpaceDN w:val="0"/>
        <w:adjustRightInd w:val="0"/>
        <w:ind w:left="0" w:firstLine="0"/>
        <w:rPr>
          <w:rFonts w:cs="TimesNewRomanPSMT"/>
        </w:rPr>
      </w:pPr>
    </w:p>
    <w:p w:rsidR="0024431B" w:rsidRPr="0018646B" w:rsidRDefault="0024431B" w:rsidP="00996BDD">
      <w:pPr>
        <w:autoSpaceDE w:val="0"/>
        <w:autoSpaceDN w:val="0"/>
        <w:adjustRightInd w:val="0"/>
        <w:ind w:left="0" w:firstLine="0"/>
        <w:rPr>
          <w:rFonts w:cs="TimesNewRomanPSMT"/>
        </w:rPr>
      </w:pPr>
    </w:p>
    <w:p w:rsidR="00E3323C" w:rsidRPr="0018646B" w:rsidRDefault="00E3323C" w:rsidP="00E3323C">
      <w:pPr>
        <w:autoSpaceDE w:val="0"/>
        <w:autoSpaceDN w:val="0"/>
        <w:adjustRightInd w:val="0"/>
        <w:ind w:left="0" w:firstLine="0"/>
        <w:rPr>
          <w:rFonts w:cs="Helvetica-Bold"/>
          <w:b/>
          <w:bCs/>
          <w:color w:val="004376"/>
        </w:rPr>
      </w:pPr>
      <w:r w:rsidRPr="0018646B">
        <w:rPr>
          <w:rFonts w:cs="Helvetica-Bold"/>
          <w:b/>
          <w:bCs/>
          <w:color w:val="004376"/>
        </w:rPr>
        <w:t>WHO Guidelines (2016)</w:t>
      </w:r>
    </w:p>
    <w:p w:rsidR="00E3323C" w:rsidRPr="0018646B" w:rsidRDefault="00E3323C" w:rsidP="00E3323C">
      <w:pPr>
        <w:autoSpaceDE w:val="0"/>
        <w:autoSpaceDN w:val="0"/>
        <w:adjustRightInd w:val="0"/>
        <w:ind w:left="0" w:firstLine="0"/>
        <w:rPr>
          <w:rFonts w:cs="Helvetica-Bold"/>
          <w:b/>
          <w:bCs/>
          <w:color w:val="004376"/>
        </w:rPr>
      </w:pPr>
    </w:p>
    <w:p w:rsidR="0039329D" w:rsidRPr="0018646B" w:rsidRDefault="0039329D" w:rsidP="00E3323C">
      <w:pPr>
        <w:autoSpaceDE w:val="0"/>
        <w:autoSpaceDN w:val="0"/>
        <w:adjustRightInd w:val="0"/>
        <w:ind w:left="0" w:firstLine="0"/>
        <w:rPr>
          <w:rFonts w:cs="PWPDT M+ Trade Gothic"/>
          <w:b/>
          <w:bCs/>
          <w:color w:val="57585A"/>
        </w:rPr>
      </w:pPr>
      <w:r w:rsidRPr="0018646B">
        <w:rPr>
          <w:rFonts w:cs="PWPDT M+ Trade Gothic"/>
          <w:b/>
          <w:bCs/>
          <w:color w:val="57585A"/>
        </w:rPr>
        <w:t>VIRAL LOAD</w:t>
      </w:r>
    </w:p>
    <w:p w:rsidR="00E3323C" w:rsidRPr="0018646B" w:rsidRDefault="00E3323C" w:rsidP="00E3323C">
      <w:pPr>
        <w:autoSpaceDE w:val="0"/>
        <w:autoSpaceDN w:val="0"/>
        <w:adjustRightInd w:val="0"/>
        <w:ind w:left="0" w:firstLine="0"/>
        <w:rPr>
          <w:rFonts w:cs="PWPDT M+ Trade Gothic"/>
          <w:b/>
          <w:bCs/>
          <w:color w:val="57585A"/>
        </w:rPr>
      </w:pPr>
      <w:r w:rsidRPr="0018646B">
        <w:rPr>
          <w:rFonts w:cs="PWPDT M+ Trade Gothic"/>
          <w:b/>
          <w:bCs/>
          <w:color w:val="57585A"/>
        </w:rPr>
        <w:t xml:space="preserve">Routine versus targeted viral load monitoring to detect viral failure </w:t>
      </w:r>
    </w:p>
    <w:p w:rsidR="00E3323C" w:rsidRPr="0018646B" w:rsidRDefault="001C60C8" w:rsidP="00E3323C">
      <w:pPr>
        <w:autoSpaceDE w:val="0"/>
        <w:autoSpaceDN w:val="0"/>
        <w:adjustRightInd w:val="0"/>
        <w:ind w:left="0" w:firstLine="0"/>
        <w:rPr>
          <w:rFonts w:eastAsia="Myriad Pro Cond" w:cs="PWPDT M+ Frutiger"/>
          <w:color w:val="57585A"/>
        </w:rPr>
      </w:pPr>
      <w:r w:rsidRPr="0018646B">
        <w:rPr>
          <w:rFonts w:eastAsia="Myriad Pro Cond" w:cs="PWPDT M+ Frutiger"/>
          <w:color w:val="57585A"/>
        </w:rPr>
        <w:t>The WHO Guidelines summarize the reviewed evidence thusly: “</w:t>
      </w:r>
      <w:r w:rsidR="00E3323C" w:rsidRPr="0018646B">
        <w:rPr>
          <w:rFonts w:eastAsia="Myriad Pro Cond" w:cs="PWPDT M+ Frutiger"/>
          <w:color w:val="57585A"/>
        </w:rPr>
        <w:t>Despite very low-quality evidence from the review findings, the Clinical Guideline Development Group recognized the importance of clear guidance around the timing of routine viral load testing and made a conditional recommendation to synchronize routine viral load monitoring with routine monitoring systems, citing better alignment of outcomes, feasibility and acceptability</w:t>
      </w:r>
      <w:r w:rsidRPr="0018646B">
        <w:rPr>
          <w:rFonts w:eastAsia="Myriad Pro Cond" w:cs="PWPDT M+ Frutiger"/>
          <w:color w:val="57585A"/>
        </w:rPr>
        <w:t>”</w:t>
      </w:r>
      <w:r w:rsidR="00E3323C" w:rsidRPr="0018646B">
        <w:rPr>
          <w:rFonts w:eastAsia="Myriad Pro Cond" w:cs="PWPDT M+ Frutiger"/>
          <w:color w:val="57585A"/>
        </w:rPr>
        <w:t xml:space="preserve"> </w:t>
      </w:r>
    </w:p>
    <w:p w:rsidR="00E3323C" w:rsidRPr="0018646B" w:rsidRDefault="00E3323C" w:rsidP="00E3323C">
      <w:pPr>
        <w:autoSpaceDE w:val="0"/>
        <w:autoSpaceDN w:val="0"/>
        <w:adjustRightInd w:val="0"/>
        <w:ind w:left="0" w:firstLine="0"/>
        <w:rPr>
          <w:rFonts w:eastAsia="Myriad Pro Cond" w:cs="PWPDT M+ Frutiger"/>
          <w:color w:val="57585A"/>
        </w:rPr>
      </w:pPr>
    </w:p>
    <w:p w:rsidR="00E3323C" w:rsidRPr="0018646B" w:rsidRDefault="00E3323C" w:rsidP="00996BDD">
      <w:pPr>
        <w:autoSpaceDE w:val="0"/>
        <w:autoSpaceDN w:val="0"/>
        <w:adjustRightInd w:val="0"/>
        <w:ind w:left="0" w:firstLine="0"/>
        <w:rPr>
          <w:rFonts w:cs="PWPDT M+ Trade Gothic"/>
          <w:b/>
          <w:bCs/>
          <w:color w:val="57585A"/>
        </w:rPr>
      </w:pPr>
    </w:p>
    <w:p w:rsidR="00E3323C" w:rsidRPr="0018646B" w:rsidRDefault="00E3323C" w:rsidP="00996BDD">
      <w:pPr>
        <w:autoSpaceDE w:val="0"/>
        <w:autoSpaceDN w:val="0"/>
        <w:adjustRightInd w:val="0"/>
        <w:ind w:left="0" w:firstLine="0"/>
        <w:rPr>
          <w:rFonts w:cs="PWPDT M+ Trade Gothic"/>
          <w:b/>
          <w:bCs/>
          <w:color w:val="57585A"/>
        </w:rPr>
      </w:pPr>
      <w:r w:rsidRPr="0018646B">
        <w:rPr>
          <w:rFonts w:cs="PWPDT M+ Trade Gothic"/>
          <w:b/>
          <w:bCs/>
          <w:color w:val="57585A"/>
        </w:rPr>
        <w:t>Stopping CD4 count monitoring where viral load testing is available</w:t>
      </w:r>
    </w:p>
    <w:p w:rsidR="000B45FF" w:rsidRPr="0018646B" w:rsidRDefault="000B45FF" w:rsidP="00E3323C">
      <w:pPr>
        <w:pStyle w:val="Pa1"/>
        <w:spacing w:after="160"/>
        <w:rPr>
          <w:rFonts w:asciiTheme="minorHAnsi" w:hAnsiTheme="minorHAnsi" w:cs="PWPDT M+ Frutiger"/>
          <w:color w:val="57585A"/>
          <w:sz w:val="22"/>
          <w:szCs w:val="22"/>
        </w:rPr>
      </w:pPr>
      <w:r w:rsidRPr="0018646B">
        <w:rPr>
          <w:rFonts w:asciiTheme="minorHAnsi" w:hAnsiTheme="minorHAnsi" w:cs="PWPDT M+ Frutiger"/>
          <w:color w:val="57585A"/>
          <w:sz w:val="22"/>
          <w:szCs w:val="22"/>
        </w:rPr>
        <w:t>The WHO guidelines describe the results of the aforementioned systematic review as “low quality”</w:t>
      </w:r>
    </w:p>
    <w:p w:rsidR="00E3323C" w:rsidRPr="0018646B" w:rsidRDefault="00E3323C" w:rsidP="00E3323C">
      <w:pPr>
        <w:pStyle w:val="Pa1"/>
        <w:spacing w:after="160"/>
        <w:rPr>
          <w:rFonts w:asciiTheme="minorHAnsi" w:eastAsia="Myriad Pro Cond" w:hAnsiTheme="minorHAnsi" w:cs="PWPDT M+ Frutiger"/>
          <w:color w:val="57585A"/>
          <w:sz w:val="22"/>
          <w:szCs w:val="22"/>
        </w:rPr>
      </w:pPr>
      <w:r w:rsidRPr="0018646B">
        <w:rPr>
          <w:rFonts w:asciiTheme="minorHAnsi" w:hAnsiTheme="minorHAnsi" w:cs="PWPDT M+ Frutiger"/>
          <w:color w:val="57585A"/>
          <w:sz w:val="22"/>
          <w:szCs w:val="22"/>
        </w:rPr>
        <w:t xml:space="preserve">A systematic review identified 13 studies carried out in Asia, Africa, Europe, the United States and Australia and found that CD4 count declines among adults and children who are virally suppressed on ART are rare and mainly transient events that are mostly explained by non-HIV factors, such as concomitant immunosuppressive therapy. Overall, the evidence suggests that for individuals stable on ART who are monitored virologically, routine monitoring of CD4 could be stopped </w:t>
      </w:r>
      <w:r w:rsidRPr="0018646B">
        <w:rPr>
          <w:rFonts w:asciiTheme="minorHAnsi" w:eastAsia="Myriad Pro Cond" w:hAnsiTheme="minorHAnsi" w:cs="Myriad Pro Cond"/>
          <w:i/>
          <w:iCs/>
          <w:color w:val="57585A"/>
          <w:sz w:val="22"/>
          <w:szCs w:val="22"/>
        </w:rPr>
        <w:t>(383)</w:t>
      </w:r>
      <w:r w:rsidRPr="0018646B">
        <w:rPr>
          <w:rFonts w:asciiTheme="minorHAnsi" w:eastAsia="Myriad Pro Cond" w:hAnsiTheme="minorHAnsi" w:cs="PWPDT M+ Frutiger"/>
          <w:color w:val="57585A"/>
          <w:sz w:val="22"/>
          <w:szCs w:val="22"/>
        </w:rPr>
        <w:t xml:space="preserve">. This recommendation is further supported by the substantial cost savings that could be gained from stopping routine CD4 count monitoring </w:t>
      </w:r>
      <w:r w:rsidRPr="0018646B">
        <w:rPr>
          <w:rFonts w:asciiTheme="minorHAnsi" w:eastAsia="Myriad Pro Cond" w:hAnsiTheme="minorHAnsi" w:cs="Myriad Pro Cond"/>
          <w:i/>
          <w:iCs/>
          <w:color w:val="57585A"/>
          <w:sz w:val="22"/>
          <w:szCs w:val="22"/>
        </w:rPr>
        <w:t xml:space="preserve">(389–391) </w:t>
      </w:r>
      <w:r w:rsidRPr="0018646B">
        <w:rPr>
          <w:rFonts w:asciiTheme="minorHAnsi" w:eastAsia="Myriad Pro Cond" w:hAnsiTheme="minorHAnsi" w:cs="PWPDT M+ Frutiger"/>
          <w:color w:val="57585A"/>
          <w:sz w:val="22"/>
          <w:szCs w:val="22"/>
        </w:rPr>
        <w:t xml:space="preserve">and modelling. The latter suggests that viral load testing is cost-effective for stable individuals if provided as part of a package of care that includes less frequent clinic visits and stopping CD4 count monitoring. </w:t>
      </w:r>
    </w:p>
    <w:p w:rsidR="00E3323C" w:rsidRPr="0018646B" w:rsidRDefault="00E3323C" w:rsidP="00996BDD">
      <w:pPr>
        <w:autoSpaceDE w:val="0"/>
        <w:autoSpaceDN w:val="0"/>
        <w:adjustRightInd w:val="0"/>
        <w:ind w:left="0" w:firstLine="0"/>
        <w:rPr>
          <w:rFonts w:cs="TimesNewRomanPSMT"/>
        </w:rPr>
      </w:pPr>
    </w:p>
    <w:p w:rsidR="0039329D" w:rsidRPr="0018646B" w:rsidRDefault="0039329D" w:rsidP="00996BDD">
      <w:pPr>
        <w:autoSpaceDE w:val="0"/>
        <w:autoSpaceDN w:val="0"/>
        <w:adjustRightInd w:val="0"/>
        <w:ind w:left="0" w:firstLine="0"/>
        <w:rPr>
          <w:rFonts w:cs="TimesNewRomanPSMT"/>
        </w:rPr>
      </w:pPr>
    </w:p>
    <w:p w:rsidR="00B32AA6" w:rsidRPr="0018646B" w:rsidRDefault="0039329D" w:rsidP="00996BDD">
      <w:pPr>
        <w:autoSpaceDE w:val="0"/>
        <w:autoSpaceDN w:val="0"/>
        <w:adjustRightInd w:val="0"/>
        <w:ind w:left="0" w:firstLine="0"/>
        <w:rPr>
          <w:rFonts w:cs="Frutiger 47LightCn"/>
          <w:b/>
          <w:bCs/>
          <w:color w:val="57585A"/>
        </w:rPr>
      </w:pPr>
      <w:r w:rsidRPr="0018646B">
        <w:rPr>
          <w:rFonts w:cs="TimesNewRomanPSMT"/>
          <w:b/>
        </w:rPr>
        <w:t>TREATMENT</w:t>
      </w:r>
      <w:r w:rsidRPr="0018646B">
        <w:rPr>
          <w:rFonts w:cs="TimesNewRomanPSMT"/>
        </w:rPr>
        <w:br/>
      </w:r>
      <w:r w:rsidR="00B32AA6" w:rsidRPr="0018646B">
        <w:rPr>
          <w:rFonts w:cs="Frutiger 47LightCn"/>
          <w:b/>
          <w:bCs/>
          <w:color w:val="57585A"/>
        </w:rPr>
        <w:t xml:space="preserve">Initiating ART among all adults living with HIV regardless of WHO clinical stage or at any CD4 cell count </w:t>
      </w:r>
    </w:p>
    <w:p w:rsidR="00B033F1" w:rsidRPr="0018646B" w:rsidRDefault="008E36AC" w:rsidP="00996BDD">
      <w:pPr>
        <w:autoSpaceDE w:val="0"/>
        <w:autoSpaceDN w:val="0"/>
        <w:adjustRightInd w:val="0"/>
        <w:ind w:left="0" w:firstLine="0"/>
        <w:rPr>
          <w:rFonts w:cs="PWPDT M+ Frutiger"/>
          <w:color w:val="57585A"/>
        </w:rPr>
      </w:pPr>
      <w:r w:rsidRPr="0018646B">
        <w:rPr>
          <w:rFonts w:cs="PWPDT M+ Frutiger"/>
          <w:color w:val="57585A"/>
        </w:rPr>
        <w:t>The report summarizing the evidence base reviewed for the WHO guidelines described it thusly:</w:t>
      </w:r>
    </w:p>
    <w:p w:rsidR="008E36AC" w:rsidRPr="0018646B" w:rsidRDefault="008E36AC" w:rsidP="00996BDD">
      <w:pPr>
        <w:autoSpaceDE w:val="0"/>
        <w:autoSpaceDN w:val="0"/>
        <w:adjustRightInd w:val="0"/>
        <w:ind w:left="0" w:firstLine="0"/>
        <w:rPr>
          <w:rFonts w:cs="PWPDT M+ Frutiger"/>
          <w:color w:val="57585A"/>
        </w:rPr>
      </w:pPr>
    </w:p>
    <w:p w:rsidR="008E36AC" w:rsidRPr="0018646B" w:rsidRDefault="008E36AC" w:rsidP="00996BDD">
      <w:pPr>
        <w:autoSpaceDE w:val="0"/>
        <w:autoSpaceDN w:val="0"/>
        <w:adjustRightInd w:val="0"/>
        <w:ind w:left="0" w:firstLine="0"/>
      </w:pPr>
      <w:r w:rsidRPr="0018646B">
        <w:rPr>
          <w:rFonts w:cs="PWPDT M+ Frutiger"/>
          <w:color w:val="57585A"/>
        </w:rPr>
        <w:t>“</w:t>
      </w:r>
      <w:r w:rsidRPr="0018646B">
        <w:t>All three RCT reports [NOTE: all three reports reviewed related to the TEMPERANO study] adequately discussed how the randomisation sequence was generated, and all allocation was adequately concealed prior to assignment. No studies suffered from attrition bias resulting from incomplete outcome data reporting (e.g., follow-up in all studies was adequate), and no studies suffered from reporting bias resulting from selective outcome reporting. However, the three RCT reports may have potentially been biased because of a lack of blinding of assigned treatment (treatment was determined by pre-determined clinical characteristics and was open label)</w:t>
      </w:r>
    </w:p>
    <w:p w:rsidR="008E36AC" w:rsidRPr="0018646B" w:rsidRDefault="008E36AC" w:rsidP="00996BDD">
      <w:pPr>
        <w:autoSpaceDE w:val="0"/>
        <w:autoSpaceDN w:val="0"/>
        <w:adjustRightInd w:val="0"/>
        <w:ind w:left="0" w:firstLine="0"/>
      </w:pPr>
    </w:p>
    <w:p w:rsidR="008E36AC" w:rsidRPr="0018646B" w:rsidRDefault="008E36AC" w:rsidP="00996BDD">
      <w:pPr>
        <w:autoSpaceDE w:val="0"/>
        <w:autoSpaceDN w:val="0"/>
        <w:adjustRightInd w:val="0"/>
        <w:ind w:left="0" w:firstLine="0"/>
      </w:pPr>
      <w:r w:rsidRPr="0018646B">
        <w:t>No observational study suffered from obvious selection bias; all observational studies had study populations that were either truly or somewhat representative of average, HIV-infected persons, and all participants were drawn from the same community. Additionally, all treatment data were ascertained through health care records, and outcomes of interest were not present at the start of the study. The comparability between intervention and control arms was not very strong as several studies did not adjust for confounding factors such as age or sex. Outcomes were adequately assessed in all studies either through independent blind assessment or record linkage. Follow-up was long enough for outcomes to occur in all studies, although six observational studies did not report follow-up rates of participants.”</w:t>
      </w:r>
    </w:p>
    <w:p w:rsidR="008E36AC" w:rsidRPr="0018646B" w:rsidRDefault="008E36AC" w:rsidP="00996BDD">
      <w:pPr>
        <w:autoSpaceDE w:val="0"/>
        <w:autoSpaceDN w:val="0"/>
        <w:adjustRightInd w:val="0"/>
        <w:ind w:left="0" w:firstLine="0"/>
        <w:rPr>
          <w:b/>
        </w:rPr>
      </w:pPr>
    </w:p>
    <w:p w:rsidR="00D14F0B" w:rsidRPr="0018646B" w:rsidRDefault="00D14F0B" w:rsidP="002E2177">
      <w:pPr>
        <w:ind w:left="0" w:firstLine="0"/>
      </w:pPr>
    </w:p>
    <w:p w:rsidR="00496AF8" w:rsidRPr="0018646B" w:rsidRDefault="00C5180E" w:rsidP="002E2177">
      <w:pPr>
        <w:ind w:left="0" w:firstLine="0"/>
        <w:rPr>
          <w:b/>
        </w:rPr>
      </w:pPr>
      <w:r w:rsidRPr="0018646B">
        <w:rPr>
          <w:b/>
        </w:rPr>
        <w:t>ESTIMATES OF BENEFIT AND CONSISTENCY ACROSS STUDIES IN BODY OF EVIDENCE</w:t>
      </w:r>
    </w:p>
    <w:p w:rsidR="00496AF8" w:rsidRPr="0018646B" w:rsidRDefault="001B772D" w:rsidP="002E2177">
      <w:pPr>
        <w:ind w:left="432" w:hanging="432"/>
      </w:pPr>
      <w:r w:rsidRPr="0018646B">
        <w:rPr>
          <w:b/>
          <w:color w:val="0000FF"/>
        </w:rPr>
        <w:t>1</w:t>
      </w:r>
      <w:r w:rsidR="00837121" w:rsidRPr="0018646B">
        <w:rPr>
          <w:b/>
          <w:color w:val="0000FF"/>
        </w:rPr>
        <w:t>a</w:t>
      </w:r>
      <w:r w:rsidRPr="0018646B">
        <w:rPr>
          <w:b/>
          <w:color w:val="0000FF"/>
        </w:rPr>
        <w:t>.</w:t>
      </w:r>
      <w:r w:rsidR="00EE5AF6" w:rsidRPr="0018646B">
        <w:rPr>
          <w:b/>
          <w:color w:val="0000FF"/>
        </w:rPr>
        <w:t>7.</w:t>
      </w:r>
      <w:r w:rsidR="00095EC9" w:rsidRPr="0018646B">
        <w:rPr>
          <w:b/>
          <w:color w:val="0000FF"/>
        </w:rPr>
        <w:t>7</w:t>
      </w:r>
      <w:r w:rsidRPr="0018646B">
        <w:rPr>
          <w:b/>
          <w:color w:val="0000FF"/>
        </w:rPr>
        <w:t>.</w:t>
      </w:r>
      <w:r w:rsidRPr="0018646B">
        <w:t xml:space="preserve"> </w:t>
      </w:r>
      <w:r w:rsidR="00496AF8" w:rsidRPr="0018646B">
        <w:rPr>
          <w:b/>
        </w:rPr>
        <w:t xml:space="preserve">What are </w:t>
      </w:r>
      <w:r w:rsidR="007D5DC6" w:rsidRPr="0018646B">
        <w:rPr>
          <w:b/>
        </w:rPr>
        <w:t>the estimates</w:t>
      </w:r>
      <w:r w:rsidR="00496AF8" w:rsidRPr="0018646B">
        <w:rPr>
          <w:b/>
        </w:rPr>
        <w:t xml:space="preserve"> of benefit—magnitude and direction of effect on outcome</w:t>
      </w:r>
      <w:r w:rsidR="00734949" w:rsidRPr="0018646B">
        <w:rPr>
          <w:b/>
        </w:rPr>
        <w:t>(s)</w:t>
      </w:r>
      <w:r w:rsidR="00496AF8" w:rsidRPr="0018646B">
        <w:rPr>
          <w:b/>
        </w:rPr>
        <w:t xml:space="preserve"> </w:t>
      </w:r>
      <w:r w:rsidR="00496AF8" w:rsidRPr="0018646B">
        <w:rPr>
          <w:b/>
          <w:u w:val="single"/>
        </w:rPr>
        <w:t>across studies</w:t>
      </w:r>
      <w:r w:rsidR="00496AF8" w:rsidRPr="0018646B">
        <w:rPr>
          <w:b/>
        </w:rPr>
        <w:t xml:space="preserve"> in the body of evidence</w:t>
      </w:r>
      <w:r w:rsidR="00496AF8" w:rsidRPr="0018646B">
        <w:t>?</w:t>
      </w:r>
      <w:r w:rsidR="002A6777" w:rsidRPr="0018646B">
        <w:t xml:space="preserve"> (</w:t>
      </w:r>
      <w:r w:rsidR="002A6777" w:rsidRPr="0018646B">
        <w:rPr>
          <w:i/>
        </w:rPr>
        <w:t xml:space="preserve">e.g., </w:t>
      </w:r>
      <w:r w:rsidR="000160E6" w:rsidRPr="0018646B">
        <w:rPr>
          <w:i/>
        </w:rPr>
        <w:t xml:space="preserve">ranges of percentages or odds ratios for </w:t>
      </w:r>
      <w:r w:rsidR="0068184A" w:rsidRPr="0018646B">
        <w:rPr>
          <w:i/>
        </w:rPr>
        <w:t xml:space="preserve">improvement/ </w:t>
      </w:r>
      <w:r w:rsidR="007D5DC6" w:rsidRPr="0018646B">
        <w:rPr>
          <w:i/>
        </w:rPr>
        <w:t>decline across</w:t>
      </w:r>
      <w:r w:rsidR="005B0D18" w:rsidRPr="0018646B">
        <w:rPr>
          <w:i/>
        </w:rPr>
        <w:t xml:space="preserve"> studies, </w:t>
      </w:r>
      <w:r w:rsidR="0068184A" w:rsidRPr="0018646B">
        <w:rPr>
          <w:i/>
        </w:rPr>
        <w:t>results of meta-analysis, and statistical significance</w:t>
      </w:r>
      <w:r w:rsidR="005B0D18" w:rsidRPr="0018646B">
        <w:t>)</w:t>
      </w:r>
      <w:r w:rsidR="000D649E" w:rsidRPr="0018646B">
        <w:t xml:space="preserve">  </w:t>
      </w:r>
    </w:p>
    <w:p w:rsidR="00D20B36" w:rsidRPr="0018646B" w:rsidRDefault="00D20B36" w:rsidP="00D20B36">
      <w:pPr>
        <w:autoSpaceDE w:val="0"/>
        <w:autoSpaceDN w:val="0"/>
        <w:adjustRightInd w:val="0"/>
        <w:ind w:left="0" w:firstLine="0"/>
      </w:pPr>
    </w:p>
    <w:p w:rsidR="00137141" w:rsidRPr="0018646B" w:rsidRDefault="00137141" w:rsidP="000B3ED7">
      <w:pPr>
        <w:autoSpaceDE w:val="0"/>
        <w:autoSpaceDN w:val="0"/>
        <w:adjustRightInd w:val="0"/>
        <w:ind w:left="0" w:firstLine="0"/>
        <w:rPr>
          <w:rFonts w:cs="TimesNewRomanPSMT"/>
        </w:rPr>
      </w:pPr>
    </w:p>
    <w:p w:rsidR="00137141" w:rsidRPr="0018646B" w:rsidRDefault="00DE7722" w:rsidP="00137141">
      <w:pPr>
        <w:autoSpaceDE w:val="0"/>
        <w:autoSpaceDN w:val="0"/>
        <w:adjustRightInd w:val="0"/>
        <w:ind w:left="0" w:firstLine="0"/>
        <w:rPr>
          <w:rFonts w:cs="Helvetica-Bold"/>
          <w:b/>
          <w:bCs/>
          <w:color w:val="004376"/>
        </w:rPr>
      </w:pPr>
      <w:r w:rsidRPr="0018646B">
        <w:rPr>
          <w:rFonts w:cs="Helvetica-Bold"/>
          <w:b/>
          <w:bCs/>
          <w:color w:val="004376"/>
        </w:rPr>
        <w:t>WHO Guidelines 2016</w:t>
      </w:r>
      <w:r w:rsidR="00862166" w:rsidRPr="0018646B">
        <w:rPr>
          <w:rFonts w:cs="Helvetica-Bold"/>
          <w:b/>
          <w:bCs/>
          <w:color w:val="004376"/>
        </w:rPr>
        <w:t>—Relevant passages from the Guidelines document or separately published evidence review are excerpted below</w:t>
      </w:r>
    </w:p>
    <w:p w:rsidR="00DE7722" w:rsidRPr="0018646B" w:rsidRDefault="00DE7722" w:rsidP="00137141">
      <w:pPr>
        <w:autoSpaceDE w:val="0"/>
        <w:autoSpaceDN w:val="0"/>
        <w:adjustRightInd w:val="0"/>
        <w:ind w:left="0" w:firstLine="0"/>
        <w:rPr>
          <w:rFonts w:cs="Helvetica-Bold"/>
          <w:b/>
          <w:bCs/>
          <w:color w:val="004376"/>
        </w:rPr>
      </w:pPr>
    </w:p>
    <w:p w:rsidR="00137141" w:rsidRPr="0018646B" w:rsidRDefault="00137141" w:rsidP="00137141">
      <w:pPr>
        <w:autoSpaceDE w:val="0"/>
        <w:autoSpaceDN w:val="0"/>
        <w:adjustRightInd w:val="0"/>
        <w:ind w:left="0" w:firstLine="0"/>
        <w:rPr>
          <w:rFonts w:cs="PWPDT M+ Trade Gothic"/>
          <w:b/>
          <w:bCs/>
          <w:color w:val="57585A"/>
        </w:rPr>
      </w:pPr>
      <w:r w:rsidRPr="0018646B">
        <w:rPr>
          <w:rFonts w:cs="PWPDT M+ Trade Gothic"/>
          <w:b/>
          <w:bCs/>
          <w:color w:val="57585A"/>
        </w:rPr>
        <w:t>VIRAL LOAD</w:t>
      </w:r>
    </w:p>
    <w:p w:rsidR="00137141" w:rsidRPr="0018646B" w:rsidRDefault="00137141" w:rsidP="00137141">
      <w:pPr>
        <w:autoSpaceDE w:val="0"/>
        <w:autoSpaceDN w:val="0"/>
        <w:adjustRightInd w:val="0"/>
        <w:ind w:left="0" w:firstLine="0"/>
        <w:rPr>
          <w:rFonts w:cs="PWPDT M+ Trade Gothic"/>
          <w:b/>
          <w:bCs/>
          <w:color w:val="57585A"/>
        </w:rPr>
      </w:pPr>
      <w:r w:rsidRPr="0018646B">
        <w:rPr>
          <w:rFonts w:cs="PWPDT M+ Trade Gothic"/>
          <w:b/>
          <w:bCs/>
          <w:color w:val="57585A"/>
        </w:rPr>
        <w:t xml:space="preserve">Routine versus targeted viral load monitoring to detect viral failure </w:t>
      </w:r>
    </w:p>
    <w:p w:rsidR="00137141" w:rsidRPr="0018646B" w:rsidRDefault="00137141" w:rsidP="00137141">
      <w:pPr>
        <w:autoSpaceDE w:val="0"/>
        <w:autoSpaceDN w:val="0"/>
        <w:adjustRightInd w:val="0"/>
        <w:ind w:left="0" w:firstLine="0"/>
        <w:rPr>
          <w:rFonts w:eastAsia="Myriad Pro Cond" w:cs="PWPDT M+ Frutiger"/>
          <w:color w:val="57585A"/>
        </w:rPr>
      </w:pPr>
      <w:r w:rsidRPr="0018646B">
        <w:rPr>
          <w:rFonts w:eastAsia="Myriad Pro Cond" w:cs="PWPDT M+ Frutiger"/>
          <w:color w:val="57585A"/>
        </w:rPr>
        <w:t>Despite very low-quality evidence from the review findings, the Clinical Guideline Development Group recognized the importance of clear guidance around the timing of routine viral load testing and made a conditional recommendation to synchronize routine viral load monitoring with routine monitoring systems, citing better alignment of outcomes, feasibility and acceptability</w:t>
      </w:r>
      <w:r w:rsidR="008E36AC" w:rsidRPr="0018646B">
        <w:rPr>
          <w:rFonts w:eastAsia="Myriad Pro Cond" w:cs="Myriad Pro Cond"/>
          <w:i/>
          <w:iCs/>
          <w:color w:val="57585A"/>
        </w:rPr>
        <w:t>.</w:t>
      </w:r>
      <w:r w:rsidRPr="0018646B">
        <w:rPr>
          <w:rFonts w:eastAsia="Myriad Pro Cond" w:cs="PWPDT M+ Frutiger"/>
          <w:color w:val="57585A"/>
        </w:rPr>
        <w:t>.</w:t>
      </w:r>
    </w:p>
    <w:p w:rsidR="00137141" w:rsidRPr="0018646B" w:rsidRDefault="00137141" w:rsidP="00137141">
      <w:pPr>
        <w:autoSpaceDE w:val="0"/>
        <w:autoSpaceDN w:val="0"/>
        <w:adjustRightInd w:val="0"/>
        <w:ind w:left="0" w:firstLine="0"/>
        <w:rPr>
          <w:rFonts w:eastAsia="Myriad Pro Cond" w:cs="PWPDT M+ Frutiger"/>
          <w:color w:val="57585A"/>
        </w:rPr>
      </w:pPr>
    </w:p>
    <w:p w:rsidR="00137141" w:rsidRPr="0018646B" w:rsidRDefault="00137141" w:rsidP="00137141">
      <w:pPr>
        <w:autoSpaceDE w:val="0"/>
        <w:autoSpaceDN w:val="0"/>
        <w:adjustRightInd w:val="0"/>
        <w:ind w:left="0" w:firstLine="0"/>
        <w:rPr>
          <w:rFonts w:cs="PWPDT M+ Trade Gothic"/>
          <w:b/>
          <w:bCs/>
          <w:color w:val="57585A"/>
        </w:rPr>
      </w:pPr>
    </w:p>
    <w:p w:rsidR="00137141" w:rsidRPr="0018646B" w:rsidRDefault="00137141" w:rsidP="00137141">
      <w:pPr>
        <w:autoSpaceDE w:val="0"/>
        <w:autoSpaceDN w:val="0"/>
        <w:adjustRightInd w:val="0"/>
        <w:ind w:left="0" w:firstLine="0"/>
        <w:rPr>
          <w:rFonts w:cs="PWPDT M+ Trade Gothic"/>
          <w:b/>
          <w:bCs/>
          <w:color w:val="57585A"/>
        </w:rPr>
      </w:pPr>
      <w:r w:rsidRPr="0018646B">
        <w:rPr>
          <w:rFonts w:cs="PWPDT M+ Trade Gothic"/>
          <w:b/>
          <w:bCs/>
          <w:color w:val="57585A"/>
        </w:rPr>
        <w:t>Stopping CD4 count monitoring where viral load testing is available</w:t>
      </w:r>
    </w:p>
    <w:p w:rsidR="00137141" w:rsidRPr="0018646B" w:rsidRDefault="00137141" w:rsidP="00137141">
      <w:pPr>
        <w:pStyle w:val="Pa1"/>
        <w:spacing w:after="160"/>
        <w:rPr>
          <w:rFonts w:asciiTheme="minorHAnsi" w:eastAsia="Myriad Pro Cond" w:hAnsiTheme="minorHAnsi" w:cs="PWPDT M+ Frutiger"/>
          <w:color w:val="57585A"/>
          <w:sz w:val="22"/>
          <w:szCs w:val="22"/>
        </w:rPr>
      </w:pPr>
      <w:r w:rsidRPr="0018646B">
        <w:rPr>
          <w:rFonts w:asciiTheme="minorHAnsi" w:hAnsiTheme="minorHAnsi" w:cs="PWPDT M+ Frutiger"/>
          <w:color w:val="57585A"/>
          <w:sz w:val="22"/>
          <w:szCs w:val="22"/>
        </w:rPr>
        <w:t>Overall, the evidence suggests that for individuals stable on ART who are monitored virologically, routine monitoring of CD4 could be stopped</w:t>
      </w:r>
      <w:r w:rsidRPr="0018646B">
        <w:rPr>
          <w:rFonts w:asciiTheme="minorHAnsi" w:eastAsia="Myriad Pro Cond" w:hAnsiTheme="minorHAnsi" w:cs="PWPDT M+ Frutiger"/>
          <w:color w:val="57585A"/>
          <w:sz w:val="22"/>
          <w:szCs w:val="22"/>
        </w:rPr>
        <w:t xml:space="preserve">. This recommendation is further supported by the substantial cost savings that could be gained from stopping routine CD4 count monitoring and modelling. The latter suggests that viral load testing is cost-effective for stable individuals if provided as part of a package of care that includes less frequent clinic visits and stopping CD4 count monitoring. </w:t>
      </w:r>
    </w:p>
    <w:p w:rsidR="00137141" w:rsidRPr="0018646B" w:rsidRDefault="00137141" w:rsidP="00137141">
      <w:pPr>
        <w:autoSpaceDE w:val="0"/>
        <w:autoSpaceDN w:val="0"/>
        <w:adjustRightInd w:val="0"/>
        <w:ind w:left="0" w:firstLine="0"/>
        <w:rPr>
          <w:rFonts w:eastAsia="Myriad Pro Cond" w:cs="PWPDT M+ Frutiger"/>
          <w:color w:val="57585A"/>
        </w:rPr>
      </w:pPr>
    </w:p>
    <w:p w:rsidR="00137141" w:rsidRPr="0018646B" w:rsidRDefault="00137141" w:rsidP="00836AE4">
      <w:pPr>
        <w:autoSpaceDE w:val="0"/>
        <w:autoSpaceDN w:val="0"/>
        <w:adjustRightInd w:val="0"/>
        <w:spacing w:before="40" w:after="80" w:line="221" w:lineRule="atLeast"/>
        <w:ind w:left="0" w:firstLine="0"/>
        <w:rPr>
          <w:rFonts w:cs="PWPDT M+ Trade Gothic"/>
          <w:b/>
          <w:bCs/>
          <w:color w:val="57585A"/>
        </w:rPr>
      </w:pPr>
    </w:p>
    <w:p w:rsidR="00836AE4" w:rsidRPr="0018646B" w:rsidRDefault="00836AE4" w:rsidP="00836AE4">
      <w:pPr>
        <w:autoSpaceDE w:val="0"/>
        <w:autoSpaceDN w:val="0"/>
        <w:adjustRightInd w:val="0"/>
        <w:ind w:left="0" w:firstLine="0"/>
        <w:rPr>
          <w:rFonts w:cs="Frutiger 47LightCn"/>
          <w:b/>
          <w:bCs/>
          <w:color w:val="57585A"/>
        </w:rPr>
      </w:pPr>
      <w:r w:rsidRPr="0018646B">
        <w:rPr>
          <w:rFonts w:cs="TimesNewRomanPSMT"/>
          <w:b/>
        </w:rPr>
        <w:t>TREATMENT</w:t>
      </w:r>
      <w:r w:rsidRPr="0018646B">
        <w:rPr>
          <w:rFonts w:cs="TimesNewRomanPSMT"/>
        </w:rPr>
        <w:br/>
      </w:r>
      <w:r w:rsidRPr="0018646B">
        <w:rPr>
          <w:rFonts w:cs="Frutiger 47LightCn"/>
          <w:b/>
          <w:bCs/>
          <w:color w:val="57585A"/>
        </w:rPr>
        <w:t xml:space="preserve">Initiating ART among all adults living with HIV regardless of WHO clinical stage or at any CD4 cell count </w:t>
      </w:r>
    </w:p>
    <w:p w:rsidR="00862166" w:rsidRPr="0018646B" w:rsidRDefault="00862166" w:rsidP="00836AE4">
      <w:pPr>
        <w:autoSpaceDE w:val="0"/>
        <w:autoSpaceDN w:val="0"/>
        <w:adjustRightInd w:val="0"/>
        <w:ind w:left="0" w:firstLine="0"/>
        <w:rPr>
          <w:rFonts w:cs="Frutiger 47LightCn"/>
          <w:b/>
          <w:bCs/>
          <w:color w:val="57585A"/>
        </w:rPr>
      </w:pPr>
    </w:p>
    <w:p w:rsidR="00862166" w:rsidRPr="0018646B" w:rsidRDefault="00862166" w:rsidP="00862166">
      <w:pPr>
        <w:autoSpaceDE w:val="0"/>
        <w:autoSpaceDN w:val="0"/>
        <w:adjustRightInd w:val="0"/>
        <w:ind w:left="0" w:firstLine="0"/>
        <w:rPr>
          <w:rFonts w:cs="PWPDT M+ Frutiger"/>
          <w:color w:val="57585A"/>
        </w:rPr>
      </w:pPr>
      <w:r w:rsidRPr="0018646B">
        <w:rPr>
          <w:rFonts w:cs="Frutiger 47LightCn"/>
          <w:b/>
          <w:bCs/>
          <w:color w:val="57585A"/>
        </w:rPr>
        <w:t>NOTE: The evidence review were presented findings by major outcome “classes”, and we have retained that approach in the excerpt here:</w:t>
      </w:r>
    </w:p>
    <w:p w:rsidR="00862166" w:rsidRPr="0018646B" w:rsidRDefault="00862166" w:rsidP="00862166">
      <w:pPr>
        <w:autoSpaceDE w:val="0"/>
        <w:autoSpaceDN w:val="0"/>
        <w:adjustRightInd w:val="0"/>
        <w:ind w:left="0" w:firstLine="0"/>
        <w:rPr>
          <w:rFonts w:cs="Times New Roman"/>
          <w:color w:val="000000"/>
          <w:u w:val="single"/>
        </w:rPr>
      </w:pPr>
      <w:r w:rsidRPr="0018646B">
        <w:rPr>
          <w:rFonts w:cs="Times New Roman"/>
          <w:color w:val="000000"/>
          <w:u w:val="single"/>
        </w:rPr>
        <w:t xml:space="preserve">Severe HIV disease or malignancy or mortality </w:t>
      </w:r>
    </w:p>
    <w:p w:rsidR="00862166" w:rsidRPr="0018646B" w:rsidRDefault="00862166" w:rsidP="00862166">
      <w:pPr>
        <w:autoSpaceDE w:val="0"/>
        <w:autoSpaceDN w:val="0"/>
        <w:adjustRightInd w:val="0"/>
        <w:ind w:left="0" w:firstLine="0"/>
        <w:rPr>
          <w:rFonts w:cs="Times New Roman"/>
          <w:color w:val="000000"/>
        </w:rPr>
      </w:pPr>
      <w:r w:rsidRPr="0018646B">
        <w:rPr>
          <w:rFonts w:cs="Times New Roman"/>
          <w:color w:val="000000"/>
        </w:rPr>
        <w:t xml:space="preserve">One RCT estimated the effect of early (≥500 CD4 cells/μL) compared to deferred ART initiation (&lt;500 cells/μL) on the combined outcome of risk of death or severe HIV disease or incident malignancy. Patients who initiated treatment earlier had a significantly lower hazard of death, severe HIV disease or incident malignancy than patients who deferred treatment (HR=0.56; 95% CI 0.33-0.94) (Figure 4). The quality of the RCT literature for this outcome is moderate and downgraded for imprecision. </w:t>
      </w:r>
    </w:p>
    <w:p w:rsidR="00862166" w:rsidRPr="0018646B" w:rsidRDefault="00862166" w:rsidP="00862166">
      <w:pPr>
        <w:autoSpaceDE w:val="0"/>
        <w:autoSpaceDN w:val="0"/>
        <w:adjustRightInd w:val="0"/>
        <w:ind w:left="0" w:firstLine="0"/>
        <w:rPr>
          <w:rFonts w:cs="Times New Roman"/>
          <w:color w:val="000000"/>
        </w:rPr>
      </w:pPr>
      <w:r w:rsidRPr="0018646B">
        <w:rPr>
          <w:rFonts w:cs="Times New Roman"/>
          <w:color w:val="000000"/>
        </w:rPr>
        <w:t>Five observational studies estimated the effect of early versus deferred ART initiation on HIV disease progression or mortaltiy,21,22,24–26 and four found a decreased risk of progression to AIDS or mortality among the early treated cohorts; two studies found a statistically significant reduction</w:t>
      </w:r>
    </w:p>
    <w:p w:rsidR="00862166" w:rsidRPr="0018646B" w:rsidRDefault="00862166" w:rsidP="00862166">
      <w:pPr>
        <w:autoSpaceDE w:val="0"/>
        <w:autoSpaceDN w:val="0"/>
        <w:adjustRightInd w:val="0"/>
        <w:ind w:left="0" w:firstLine="0"/>
        <w:rPr>
          <w:rFonts w:cs="Times New Roman"/>
          <w:color w:val="000000"/>
        </w:rPr>
      </w:pPr>
    </w:p>
    <w:p w:rsidR="00862166" w:rsidRPr="0018646B" w:rsidRDefault="00862166" w:rsidP="00862166">
      <w:pPr>
        <w:autoSpaceDE w:val="0"/>
        <w:autoSpaceDN w:val="0"/>
        <w:adjustRightInd w:val="0"/>
        <w:ind w:left="0" w:firstLine="0"/>
        <w:rPr>
          <w:rFonts w:cs="Times New Roman"/>
          <w:color w:val="000000"/>
          <w:u w:val="single"/>
        </w:rPr>
      </w:pPr>
      <w:r w:rsidRPr="0018646B">
        <w:rPr>
          <w:rFonts w:cs="Times New Roman"/>
          <w:color w:val="000000"/>
          <w:u w:val="single"/>
        </w:rPr>
        <w:t xml:space="preserve">Malignancies (AIDS-related and non-AIDS related) </w:t>
      </w:r>
    </w:p>
    <w:p w:rsidR="00862166" w:rsidRPr="0018646B" w:rsidRDefault="00862166" w:rsidP="00862166">
      <w:pPr>
        <w:autoSpaceDE w:val="0"/>
        <w:autoSpaceDN w:val="0"/>
        <w:adjustRightInd w:val="0"/>
        <w:ind w:left="0" w:firstLine="0"/>
        <w:rPr>
          <w:rFonts w:cs="Times New Roman"/>
          <w:color w:val="000000"/>
        </w:rPr>
      </w:pPr>
      <w:r w:rsidRPr="0018646B">
        <w:rPr>
          <w:rFonts w:cs="Times New Roman"/>
          <w:color w:val="000000"/>
        </w:rPr>
        <w:t>One RCT found no difference in risk of incident malignancies (AIDS-related and non-AIDS related) among ART-naïve patients beginning therapy early versus patients who delayed treatment (RR=0.91; 95% CI 0.06-14.38).11 A single case of cancer was diagnosed in each treatment arm. The quality of the RCT literature was low owing to very serious imprecision because of the very small number of events.</w:t>
      </w:r>
    </w:p>
    <w:p w:rsidR="00862166" w:rsidRPr="0018646B" w:rsidRDefault="00862166" w:rsidP="00862166">
      <w:pPr>
        <w:autoSpaceDE w:val="0"/>
        <w:autoSpaceDN w:val="0"/>
        <w:adjustRightInd w:val="0"/>
        <w:ind w:left="0" w:firstLine="0"/>
        <w:rPr>
          <w:rFonts w:cs="Times New Roman"/>
          <w:color w:val="000000"/>
        </w:rPr>
      </w:pPr>
    </w:p>
    <w:p w:rsidR="00862166" w:rsidRPr="0018646B" w:rsidRDefault="00862166" w:rsidP="00862166">
      <w:pPr>
        <w:autoSpaceDE w:val="0"/>
        <w:autoSpaceDN w:val="0"/>
        <w:adjustRightInd w:val="0"/>
        <w:ind w:left="0" w:firstLine="0"/>
        <w:rPr>
          <w:rFonts w:cs="Times New Roman"/>
          <w:color w:val="000000"/>
          <w:u w:val="single"/>
        </w:rPr>
      </w:pPr>
      <w:r w:rsidRPr="0018646B">
        <w:rPr>
          <w:rFonts w:cs="Times New Roman"/>
          <w:color w:val="000000"/>
          <w:u w:val="single"/>
        </w:rPr>
        <w:t xml:space="preserve">Tuberculosis (pulmonary and disseminated) </w:t>
      </w:r>
    </w:p>
    <w:p w:rsidR="00862166" w:rsidRPr="0018646B" w:rsidRDefault="00862166" w:rsidP="00862166">
      <w:pPr>
        <w:autoSpaceDE w:val="0"/>
        <w:autoSpaceDN w:val="0"/>
        <w:adjustRightInd w:val="0"/>
        <w:ind w:left="0" w:firstLine="0"/>
        <w:rPr>
          <w:rFonts w:cs="Times New Roman"/>
          <w:color w:val="000000"/>
        </w:rPr>
      </w:pPr>
      <w:r w:rsidRPr="0018646B">
        <w:rPr>
          <w:rFonts w:cs="Times New Roman"/>
          <w:color w:val="000000"/>
        </w:rPr>
        <w:t>One RCT found a no significant decrease in risk of developing tuberculosis in patients treated early versus those who delayed treatment (RR=0.52; 95% CI 0.22-1.21).11 The quality of the RCT literature was low owing to very serious imprecision because of the very small number of events.</w:t>
      </w:r>
    </w:p>
    <w:p w:rsidR="00862166" w:rsidRPr="0018646B" w:rsidRDefault="00862166" w:rsidP="00862166">
      <w:pPr>
        <w:autoSpaceDE w:val="0"/>
        <w:autoSpaceDN w:val="0"/>
        <w:adjustRightInd w:val="0"/>
        <w:ind w:left="0" w:firstLine="0"/>
        <w:rPr>
          <w:rFonts w:cs="Times New Roman"/>
          <w:color w:val="000000"/>
        </w:rPr>
      </w:pPr>
    </w:p>
    <w:p w:rsidR="00862166" w:rsidRPr="0018646B" w:rsidRDefault="00862166" w:rsidP="00862166">
      <w:pPr>
        <w:autoSpaceDE w:val="0"/>
        <w:autoSpaceDN w:val="0"/>
        <w:adjustRightInd w:val="0"/>
        <w:ind w:left="0" w:firstLine="0"/>
        <w:rPr>
          <w:rFonts w:cs="Times New Roman"/>
          <w:color w:val="000000"/>
          <w:u w:val="single"/>
        </w:rPr>
      </w:pPr>
      <w:r w:rsidRPr="0018646B">
        <w:rPr>
          <w:rFonts w:cs="Times New Roman"/>
          <w:color w:val="000000"/>
          <w:u w:val="single"/>
        </w:rPr>
        <w:t xml:space="preserve">HIV transmission </w:t>
      </w:r>
    </w:p>
    <w:p w:rsidR="00862166" w:rsidRPr="0018646B" w:rsidRDefault="00862166" w:rsidP="00862166">
      <w:pPr>
        <w:autoSpaceDE w:val="0"/>
        <w:autoSpaceDN w:val="0"/>
        <w:adjustRightInd w:val="0"/>
        <w:ind w:left="0" w:firstLine="0"/>
        <w:rPr>
          <w:rFonts w:cs="Times New Roman"/>
          <w:color w:val="000000"/>
        </w:rPr>
      </w:pPr>
      <w:r w:rsidRPr="0018646B">
        <w:rPr>
          <w:rFonts w:cs="Times New Roman"/>
          <w:color w:val="000000"/>
        </w:rPr>
        <w:t xml:space="preserve">One RCT found significantly decreased risk of transmission of HIV among patients treated early versus those who delayed treatment (RR=0.11; 95% CI 0.06-0.19) (Figure 6).12 Two observational studies also evaluated the risk of transmission, though neither found a significant difference between patients treated early and those who received a delayed treatment (pooled RR=1.17; 0.46-2.98).18,27 The quality of the RCT literature was very low owing to very serious imprecision because of the very small number of events and indirectness (compared patients initiating ART at &lt;350 CD4 cells/μL to those initiating therapy at &gt;500 cells/μL). The quality of the observational literature was also very low largely due to the lack of confounder adjustment in estimates and very small number of events. Of note the HPTN 052 study was excluded because it examined risk of transmission from patients who initiated ART at CD4 counts between 351 and 550 cells/μL and those who initiated ART at ≤350 cells/μL </w:t>
      </w:r>
    </w:p>
    <w:p w:rsidR="004B5D22" w:rsidRPr="0018646B" w:rsidRDefault="004B5D22" w:rsidP="00862166">
      <w:pPr>
        <w:autoSpaceDE w:val="0"/>
        <w:autoSpaceDN w:val="0"/>
        <w:adjustRightInd w:val="0"/>
        <w:ind w:left="0" w:firstLine="0"/>
        <w:rPr>
          <w:rFonts w:cs="Times New Roman"/>
          <w:color w:val="000000"/>
        </w:rPr>
      </w:pPr>
    </w:p>
    <w:p w:rsidR="004B5D22" w:rsidRPr="0018646B" w:rsidRDefault="004B5D22" w:rsidP="004B5D22">
      <w:pPr>
        <w:autoSpaceDE w:val="0"/>
        <w:autoSpaceDN w:val="0"/>
        <w:adjustRightInd w:val="0"/>
        <w:spacing w:after="160" w:line="201" w:lineRule="atLeast"/>
        <w:ind w:left="0" w:firstLine="0"/>
        <w:rPr>
          <w:rFonts w:cs="Frutiger 47LightCn"/>
          <w:color w:val="57585A"/>
        </w:rPr>
      </w:pPr>
      <w:r w:rsidRPr="0018646B">
        <w:rPr>
          <w:rFonts w:cs="Frutiger 47LightCn"/>
          <w:b/>
          <w:bCs/>
          <w:color w:val="57585A"/>
        </w:rPr>
        <w:t xml:space="preserve">Initiating ART among adults with severe or advanced HIV disease or with a CD4 count at or below 350 cells/mm3 as a priority </w:t>
      </w:r>
    </w:p>
    <w:p w:rsidR="004B5D22" w:rsidRDefault="004B5D22" w:rsidP="004B5D22">
      <w:pPr>
        <w:autoSpaceDE w:val="0"/>
        <w:autoSpaceDN w:val="0"/>
        <w:adjustRightInd w:val="0"/>
        <w:ind w:left="0" w:firstLine="0"/>
        <w:rPr>
          <w:rFonts w:eastAsia="Myriad Pro Cond" w:cs="Myriad Pro Cond"/>
          <w:i/>
          <w:iCs/>
          <w:color w:val="57585A"/>
        </w:rPr>
      </w:pPr>
      <w:r w:rsidRPr="0018646B">
        <w:rPr>
          <w:rFonts w:cs="PWPDT M+ Frutiger"/>
          <w:color w:val="57585A"/>
        </w:rPr>
        <w:t xml:space="preserve">The benefits of initiating ART are greatest among individuals with symptomatic HIV disease or those with lower CD4 cell counts. The strength and quality of evidence for this recommendation established in the 2010 WHO guidelines on Antiretroviral therapy for HIV infection in adults and adolescents </w:t>
      </w:r>
      <w:r w:rsidRPr="0018646B">
        <w:rPr>
          <w:rFonts w:eastAsia="Myriad Pro Cond" w:cs="PWPDT M+ Frutiger"/>
          <w:color w:val="57585A"/>
        </w:rPr>
        <w:t>remains unchanged. Moderate-quality evidence from two randomized controlled trials and several observational studies shows that initiating ART at CD4 counts at or below 350 cells/mm3 significantly reduces mortality, disease progression and the incidence of OIs, especially TB and non-AIDS-defining conditions</w:t>
      </w:r>
      <w:r w:rsidRPr="0018646B">
        <w:rPr>
          <w:rFonts w:eastAsia="Myriad Pro Cond" w:cs="Myriad Pro Cond"/>
          <w:i/>
          <w:iCs/>
          <w:color w:val="57585A"/>
        </w:rPr>
        <w:t>.</w:t>
      </w:r>
    </w:p>
    <w:p w:rsidR="001B26B3" w:rsidRDefault="001B26B3" w:rsidP="004B5D22">
      <w:pPr>
        <w:autoSpaceDE w:val="0"/>
        <w:autoSpaceDN w:val="0"/>
        <w:adjustRightInd w:val="0"/>
        <w:ind w:left="0" w:firstLine="0"/>
        <w:rPr>
          <w:rFonts w:eastAsia="Myriad Pro Cond" w:cs="Myriad Pro Cond"/>
          <w:i/>
          <w:iCs/>
          <w:color w:val="57585A"/>
        </w:rPr>
      </w:pPr>
    </w:p>
    <w:p w:rsidR="001B26B3" w:rsidRPr="001B26B3" w:rsidRDefault="001B26B3" w:rsidP="004B5D22">
      <w:pPr>
        <w:autoSpaceDE w:val="0"/>
        <w:autoSpaceDN w:val="0"/>
        <w:adjustRightInd w:val="0"/>
        <w:ind w:left="0" w:firstLine="0"/>
        <w:rPr>
          <w:rFonts w:eastAsia="Myriad Pro Cond" w:cs="Myriad Pro Cond"/>
          <w:b/>
          <w:iCs/>
          <w:color w:val="0000FF"/>
        </w:rPr>
      </w:pPr>
      <w:r>
        <w:rPr>
          <w:rFonts w:eastAsia="Myriad Pro Cond" w:cs="Myriad Pro Cond"/>
          <w:b/>
          <w:iCs/>
          <w:color w:val="0000FF"/>
        </w:rPr>
        <w:t xml:space="preserve">NOTE: </w:t>
      </w:r>
      <w:r w:rsidRPr="001B26B3">
        <w:rPr>
          <w:rFonts w:eastAsia="Myriad Pro Cond" w:cs="Myriad Pro Cond"/>
          <w:b/>
          <w:iCs/>
          <w:color w:val="0000FF"/>
        </w:rPr>
        <w:t>WHO has not released the evidence tables for this guideline. CDC will update with more information in October review of this measure.</w:t>
      </w:r>
    </w:p>
    <w:p w:rsidR="004B5D22" w:rsidRPr="0018646B" w:rsidRDefault="004B5D22" w:rsidP="004B5D22">
      <w:pPr>
        <w:autoSpaceDE w:val="0"/>
        <w:autoSpaceDN w:val="0"/>
        <w:adjustRightInd w:val="0"/>
        <w:ind w:left="0" w:firstLine="0"/>
        <w:rPr>
          <w:rFonts w:cs="Times New Roman"/>
          <w:color w:val="000000"/>
        </w:rPr>
      </w:pPr>
    </w:p>
    <w:p w:rsidR="004B5D22" w:rsidRPr="0018646B" w:rsidRDefault="004B5D22" w:rsidP="00862166">
      <w:pPr>
        <w:autoSpaceDE w:val="0"/>
        <w:autoSpaceDN w:val="0"/>
        <w:adjustRightInd w:val="0"/>
        <w:ind w:left="0" w:firstLine="0"/>
        <w:rPr>
          <w:rFonts w:cs="Times New Roman"/>
          <w:b/>
          <w:color w:val="000000"/>
        </w:rPr>
      </w:pPr>
      <w:r w:rsidRPr="0018646B">
        <w:rPr>
          <w:rFonts w:cs="Times New Roman"/>
          <w:b/>
          <w:color w:val="000000"/>
        </w:rPr>
        <w:t>NOTE: The results of HPTN 052 are described in greater detail below because the HHS Panel believes them to likely be applicable at CD4 counts &gt; 550 cells/microliter</w:t>
      </w:r>
    </w:p>
    <w:p w:rsidR="00862166" w:rsidRPr="0018646B" w:rsidRDefault="00862166" w:rsidP="00862166">
      <w:pPr>
        <w:autoSpaceDE w:val="0"/>
        <w:autoSpaceDN w:val="0"/>
        <w:adjustRightInd w:val="0"/>
        <w:ind w:left="0" w:firstLine="0"/>
        <w:rPr>
          <w:rFonts w:cs="Times New Roman"/>
          <w:color w:val="000000"/>
        </w:rPr>
      </w:pPr>
    </w:p>
    <w:p w:rsidR="004B5D22" w:rsidRPr="0018646B" w:rsidRDefault="004B5D22" w:rsidP="00836AE4">
      <w:pPr>
        <w:autoSpaceDE w:val="0"/>
        <w:autoSpaceDN w:val="0"/>
        <w:adjustRightInd w:val="0"/>
        <w:ind w:left="0" w:firstLine="0"/>
        <w:rPr>
          <w:rFonts w:cs="Helvetica-Condensed-Bold"/>
          <w:b/>
          <w:bCs/>
        </w:rPr>
      </w:pPr>
      <w:r w:rsidRPr="0018646B">
        <w:rPr>
          <w:rFonts w:cs="Helvetica-Condensed-Bold"/>
          <w:b/>
          <w:bCs/>
        </w:rPr>
        <w:t>Guidelines for the Use of Antiretroviral Agents in HIV-1-Infected Adults and Adolescents, (2016)—Excerpts describing relevant findings from START and HPTN 052</w:t>
      </w:r>
    </w:p>
    <w:p w:rsidR="004B5D22" w:rsidRPr="0018646B" w:rsidRDefault="004B5D22" w:rsidP="00836AE4">
      <w:pPr>
        <w:autoSpaceDE w:val="0"/>
        <w:autoSpaceDN w:val="0"/>
        <w:adjustRightInd w:val="0"/>
        <w:ind w:left="0" w:firstLine="0"/>
        <w:rPr>
          <w:rFonts w:cs="Helvetica-Condensed-Bold"/>
          <w:b/>
          <w:bCs/>
        </w:rPr>
      </w:pPr>
    </w:p>
    <w:p w:rsidR="004B5D22" w:rsidRPr="0018646B" w:rsidRDefault="004B5D22" w:rsidP="00836AE4">
      <w:pPr>
        <w:autoSpaceDE w:val="0"/>
        <w:autoSpaceDN w:val="0"/>
        <w:adjustRightInd w:val="0"/>
        <w:ind w:left="0" w:firstLine="0"/>
        <w:rPr>
          <w:rFonts w:cs="Helvetica-Condensed-Bold"/>
          <w:b/>
          <w:bCs/>
        </w:rPr>
      </w:pPr>
      <w:r w:rsidRPr="0018646B">
        <w:rPr>
          <w:rFonts w:cs="Helvetica-Condensed-Bold"/>
          <w:b/>
          <w:bCs/>
        </w:rPr>
        <w:t>Results from the START Study</w:t>
      </w:r>
    </w:p>
    <w:p w:rsidR="004B5D22" w:rsidRPr="0018646B" w:rsidRDefault="004B5D22" w:rsidP="004B5D22">
      <w:pPr>
        <w:autoSpaceDE w:val="0"/>
        <w:autoSpaceDN w:val="0"/>
        <w:adjustRightInd w:val="0"/>
        <w:ind w:left="0" w:firstLine="0"/>
        <w:rPr>
          <w:rFonts w:cs="Times New Roman"/>
          <w:color w:val="000000"/>
        </w:rPr>
      </w:pPr>
      <w:r w:rsidRPr="0018646B">
        <w:rPr>
          <w:rFonts w:cs="Times New Roman"/>
          <w:color w:val="000000"/>
        </w:rPr>
        <w:t xml:space="preserve">The START trial is a large, multi-national, randomized controlled clinical trial designed to evaluate the role of early ART in asymptomatic HIV-infected patients in reducing a composite clinical endpoint of AIDS-defining illnesses, serious non-AIDS events, or death. In this study, ART-naive adults (aged &gt;18 years) with CD4 counts &gt;500 cells/mm3 were randomized to initiate ART soon after randomization (immediate-initiation arm) or to wait to initiate ART until their CD4 counts declined to &lt;350 cells/mm3 or until they developed a clinical indication for therapy (deferred-initiation arm). The study enrolled 4,685 participants, with a mean follow-up of 3 years. </w:t>
      </w:r>
    </w:p>
    <w:p w:rsidR="004B5D22" w:rsidRPr="0018646B" w:rsidRDefault="004B5D22" w:rsidP="004B5D22">
      <w:pPr>
        <w:autoSpaceDE w:val="0"/>
        <w:autoSpaceDN w:val="0"/>
        <w:adjustRightInd w:val="0"/>
        <w:ind w:left="0" w:firstLine="0"/>
        <w:rPr>
          <w:rFonts w:cs="Times New Roman"/>
          <w:color w:val="000000"/>
        </w:rPr>
      </w:pPr>
    </w:p>
    <w:p w:rsidR="004B5D22" w:rsidRPr="0018646B" w:rsidRDefault="004B5D22" w:rsidP="004B5D22">
      <w:pPr>
        <w:autoSpaceDE w:val="0"/>
        <w:autoSpaceDN w:val="0"/>
        <w:adjustRightInd w:val="0"/>
        <w:ind w:left="0" w:firstLine="0"/>
        <w:rPr>
          <w:rFonts w:cs="Times New Roman"/>
          <w:color w:val="000000"/>
        </w:rPr>
      </w:pPr>
      <w:r w:rsidRPr="0018646B">
        <w:rPr>
          <w:rFonts w:cs="Times New Roman"/>
          <w:color w:val="000000"/>
        </w:rPr>
        <w:t>When the randomized arms of the study were closed, the primary endpoint of serious AIDS or non-AIDS events was reported in 42 participants (1.8%, or 0.60 events/100 person-years) in the early ART arm and 96 participants (4.1%, or 1.38 events/100 person-years) in the deferred ART arm (hazard ratio [HR] 0.43, favoring early ART [95% confidence interval (CI), 0.30–0.62, P &lt; .001]). The most common clinical events reported were tuberculosis and AIDS and non-AIDS malignancies. The majority (59%) of clinical events in the delayed ART arm occurred in participants whose CD4 counts were still above 500 cells/mm3, evidence for a benefit of immediate ART even before CD4 count declines below this threshold. Furthermore, the benefit of immediate ART was evident across all participant subgroups examined including men and women, older and younger participants, individuals with high and low plasma HIV RNA levels, and participants living in high-income and low/middle-income countries. Although START was not sufficiently powered to examine the benefit of immediate ART for each category of clinical events, the benefit of immediate ART appeared to be particularly strong for AIDS events (HR 0.28, [95% CI, 0.15–0.50, P &lt;</w:t>
      </w:r>
      <w:r w:rsidRPr="0018646B">
        <w:t xml:space="preserve"> </w:t>
      </w:r>
      <w:r w:rsidRPr="0018646B">
        <w:rPr>
          <w:rFonts w:cs="Times New Roman"/>
          <w:color w:val="000000"/>
        </w:rPr>
        <w:t>.001]), tuberculosis (HR 0.29, [95% CI, 0.12–0.73, P = .008]), and malignancies (HR 0.36, [95% CI, 0.19 to 0.66; P = .001]). Importantly, immediate ART also significantly reduced the rate of pooled serious non-AIDS events (HR 0.61, [95% CI, 0.38–0.97, P = 0.04]).</w:t>
      </w:r>
    </w:p>
    <w:p w:rsidR="004B5D22" w:rsidRPr="0018646B" w:rsidRDefault="004B5D22" w:rsidP="004B5D22">
      <w:pPr>
        <w:autoSpaceDE w:val="0"/>
        <w:autoSpaceDN w:val="0"/>
        <w:adjustRightInd w:val="0"/>
        <w:ind w:left="0" w:firstLine="0"/>
        <w:rPr>
          <w:rFonts w:cs="Times New Roman"/>
          <w:color w:val="000000"/>
        </w:rPr>
      </w:pPr>
    </w:p>
    <w:p w:rsidR="004B5D22" w:rsidRPr="0018646B" w:rsidRDefault="004B5D22" w:rsidP="004B5D22">
      <w:pPr>
        <w:autoSpaceDE w:val="0"/>
        <w:autoSpaceDN w:val="0"/>
        <w:adjustRightInd w:val="0"/>
        <w:ind w:left="0" w:firstLine="0"/>
        <w:rPr>
          <w:rFonts w:cs="Times New Roman"/>
          <w:b/>
          <w:color w:val="000000"/>
        </w:rPr>
      </w:pPr>
      <w:r w:rsidRPr="0018646B">
        <w:rPr>
          <w:rFonts w:cs="Times New Roman"/>
          <w:b/>
          <w:color w:val="000000"/>
        </w:rPr>
        <w:t>Results from HPTN 052</w:t>
      </w:r>
    </w:p>
    <w:p w:rsidR="004B5D22" w:rsidRPr="0018646B" w:rsidRDefault="004B5D22" w:rsidP="004B5D22">
      <w:pPr>
        <w:autoSpaceDE w:val="0"/>
        <w:autoSpaceDN w:val="0"/>
        <w:adjustRightInd w:val="0"/>
        <w:ind w:left="0" w:firstLine="0"/>
        <w:rPr>
          <w:rFonts w:cs="Times New Roman"/>
          <w:color w:val="000000"/>
        </w:rPr>
      </w:pPr>
      <w:r w:rsidRPr="0018646B">
        <w:rPr>
          <w:rFonts w:cs="Times New Roman"/>
          <w:color w:val="000000"/>
        </w:rPr>
        <w:t>The multi-continental HPTN 052 trial enrolled 1,763 HIV-serodiscordant couples in which the HIV-infected partner was ART naive with a CD4 count of 350 to 550 cells/mm3 at enrollment to compare the effect of immediate ART versus delayed therapy (not started until CD4 count &lt;250 cells/mm3) on HIV transmission to the HIV-uninfected partner. At study entry, 97% of the participants reported to be in a heterosexual monogamous relationship. All study participants were counseled on behavioral modification and condom use. The interim results reported 28 linked HIV transmission events during the study period, with only 1 event in the early therapy arm. This 96% reduction in transmission associated with early ART was statistically significant (HR 0.04; 95% CI, 0.01–0.27; P &lt; 0.001). The final results of this study showed a sustained 93% reduction of HIV transmission within couples when the HIV-infected partner was taking ART as prescribed and viral load was suppressed. Notably, there were only eight cases of HIV transmission within couples after the HIV-infected partner started ART; four transmissions occurred before the HIV-infected partner was virologically suppressed and four other transmissions occurred during virologic failure.</w:t>
      </w:r>
    </w:p>
    <w:p w:rsidR="00D123D0" w:rsidRPr="0018646B" w:rsidRDefault="00D123D0" w:rsidP="004B5D22">
      <w:pPr>
        <w:autoSpaceDE w:val="0"/>
        <w:autoSpaceDN w:val="0"/>
        <w:adjustRightInd w:val="0"/>
        <w:ind w:left="0" w:firstLine="0"/>
        <w:rPr>
          <w:rFonts w:cs="Times New Roman"/>
          <w:color w:val="000000"/>
        </w:rPr>
      </w:pPr>
    </w:p>
    <w:p w:rsidR="00D123D0" w:rsidRPr="0018646B" w:rsidRDefault="00D123D0" w:rsidP="00D123D0">
      <w:pPr>
        <w:autoSpaceDE w:val="0"/>
        <w:autoSpaceDN w:val="0"/>
        <w:adjustRightInd w:val="0"/>
        <w:ind w:left="0" w:firstLine="0"/>
        <w:rPr>
          <w:rFonts w:cs="Times New Roman"/>
          <w:color w:val="000000"/>
        </w:rPr>
      </w:pPr>
      <w:r w:rsidRPr="0018646B">
        <w:rPr>
          <w:rFonts w:cs="Times New Roman"/>
          <w:color w:val="000000"/>
        </w:rPr>
        <w:t>HPTN 052 was conducted in heterosexual couples and not in populations at risk of HIV transmission via male-to-male sexual contact or needle sharing. In addition, in this clinical trial, adherence to ART was excellent. However, the prevention benefits of effective ART observed in HPTN 052 can reasonably be presumed to apply broadly. Therefore, the Panel recommends that ART be offered to individuals who are at risk of transmitting HIV to sexual partners (AI).</w:t>
      </w:r>
    </w:p>
    <w:p w:rsidR="00836AE4" w:rsidRPr="0018646B" w:rsidRDefault="00836AE4" w:rsidP="00836AE4">
      <w:pPr>
        <w:autoSpaceDE w:val="0"/>
        <w:autoSpaceDN w:val="0"/>
        <w:adjustRightInd w:val="0"/>
        <w:ind w:left="0" w:firstLine="0"/>
        <w:rPr>
          <w:rFonts w:cs="TimesNewRomanPSMT"/>
        </w:rPr>
      </w:pPr>
    </w:p>
    <w:p w:rsidR="00836AE4" w:rsidRPr="0018646B" w:rsidRDefault="00836AE4" w:rsidP="00836AE4">
      <w:pPr>
        <w:autoSpaceDE w:val="0"/>
        <w:autoSpaceDN w:val="0"/>
        <w:adjustRightInd w:val="0"/>
        <w:ind w:left="0" w:firstLine="0"/>
        <w:rPr>
          <w:rFonts w:eastAsia="Myriad Pro Cond" w:cs="PWPDT M+ Frutiger"/>
          <w:color w:val="57585A"/>
        </w:rPr>
      </w:pPr>
      <w:r w:rsidRPr="0018646B">
        <w:rPr>
          <w:rFonts w:eastAsia="Myriad Pro Cond" w:cs="Myriad Pro Cond"/>
          <w:i/>
          <w:iCs/>
          <w:color w:val="57585A"/>
        </w:rPr>
        <w:t>)</w:t>
      </w:r>
      <w:r w:rsidRPr="0018646B">
        <w:rPr>
          <w:rFonts w:eastAsia="Myriad Pro Cond" w:cs="PWPDT M+ Frutiger"/>
          <w:color w:val="57585A"/>
        </w:rPr>
        <w:t xml:space="preserve">. </w:t>
      </w:r>
    </w:p>
    <w:p w:rsidR="00836AE4" w:rsidRPr="0018646B" w:rsidRDefault="00836AE4" w:rsidP="00836AE4">
      <w:pPr>
        <w:autoSpaceDE w:val="0"/>
        <w:autoSpaceDN w:val="0"/>
        <w:adjustRightInd w:val="0"/>
        <w:ind w:left="0" w:firstLine="0"/>
        <w:rPr>
          <w:rFonts w:cs="TimesNewRomanPSMT"/>
        </w:rPr>
      </w:pPr>
    </w:p>
    <w:p w:rsidR="00496AF8" w:rsidRPr="0018646B" w:rsidRDefault="001B772D" w:rsidP="002E2177">
      <w:pPr>
        <w:ind w:left="0" w:firstLine="0"/>
      </w:pPr>
      <w:r w:rsidRPr="0018646B">
        <w:rPr>
          <w:b/>
          <w:color w:val="0000FF"/>
        </w:rPr>
        <w:t>1</w:t>
      </w:r>
      <w:r w:rsidR="00837121" w:rsidRPr="0018646B">
        <w:rPr>
          <w:b/>
          <w:color w:val="0000FF"/>
        </w:rPr>
        <w:t>a</w:t>
      </w:r>
      <w:r w:rsidRPr="0018646B">
        <w:rPr>
          <w:b/>
          <w:color w:val="0000FF"/>
        </w:rPr>
        <w:t>.</w:t>
      </w:r>
      <w:r w:rsidR="00EE5AF6" w:rsidRPr="0018646B">
        <w:rPr>
          <w:b/>
          <w:color w:val="0000FF"/>
        </w:rPr>
        <w:t>7.</w:t>
      </w:r>
      <w:r w:rsidR="00095EC9" w:rsidRPr="0018646B">
        <w:rPr>
          <w:b/>
          <w:color w:val="0000FF"/>
        </w:rPr>
        <w:t>8</w:t>
      </w:r>
      <w:r w:rsidRPr="0018646B">
        <w:rPr>
          <w:b/>
          <w:color w:val="0000FF"/>
        </w:rPr>
        <w:t>.</w:t>
      </w:r>
      <w:r w:rsidRPr="0018646B">
        <w:t xml:space="preserve"> </w:t>
      </w:r>
      <w:r w:rsidR="00496AF8" w:rsidRPr="0018646B">
        <w:rPr>
          <w:b/>
        </w:rPr>
        <w:t>What harms were studied and how do they affect the net benefit</w:t>
      </w:r>
      <w:r w:rsidR="00EE1F87" w:rsidRPr="0018646B" w:rsidDel="00EE1F87">
        <w:rPr>
          <w:b/>
        </w:rPr>
        <w:t xml:space="preserve"> </w:t>
      </w:r>
      <w:r w:rsidR="00EE1F87" w:rsidRPr="0018646B">
        <w:rPr>
          <w:b/>
        </w:rPr>
        <w:t>(</w:t>
      </w:r>
      <w:r w:rsidR="00496AF8" w:rsidRPr="0018646B">
        <w:rPr>
          <w:b/>
        </w:rPr>
        <w:t>benefits over harms</w:t>
      </w:r>
      <w:r w:rsidR="00EE1F87" w:rsidRPr="0018646B">
        <w:rPr>
          <w:b/>
        </w:rPr>
        <w:t>)</w:t>
      </w:r>
      <w:r w:rsidR="00496AF8" w:rsidRPr="0018646B">
        <w:rPr>
          <w:b/>
        </w:rPr>
        <w:t>?</w:t>
      </w:r>
      <w:r w:rsidR="00D14F0B" w:rsidRPr="0018646B">
        <w:t xml:space="preserve"> </w:t>
      </w:r>
    </w:p>
    <w:p w:rsidR="00496AF8" w:rsidRPr="0018646B" w:rsidRDefault="00B32AA6" w:rsidP="002E2177">
      <w:pPr>
        <w:ind w:left="0" w:firstLine="0"/>
        <w:rPr>
          <w:b/>
        </w:rPr>
      </w:pPr>
      <w:r w:rsidRPr="0018646B">
        <w:rPr>
          <w:b/>
        </w:rPr>
        <w:t>WHO Guidelines (2016)</w:t>
      </w:r>
    </w:p>
    <w:p w:rsidR="00137141" w:rsidRPr="0018646B" w:rsidRDefault="00137141" w:rsidP="00137141">
      <w:pPr>
        <w:autoSpaceDE w:val="0"/>
        <w:autoSpaceDN w:val="0"/>
        <w:adjustRightInd w:val="0"/>
        <w:spacing w:after="80"/>
        <w:ind w:left="760" w:hanging="760"/>
        <w:rPr>
          <w:rFonts w:cs="Frutiger-Cn"/>
          <w:b/>
          <w:color w:val="333333"/>
        </w:rPr>
      </w:pPr>
      <w:r w:rsidRPr="0018646B">
        <w:rPr>
          <w:rFonts w:cs="Frutiger-Cn"/>
          <w:b/>
          <w:color w:val="333333"/>
        </w:rPr>
        <w:t>VIRAL LOAD</w:t>
      </w:r>
    </w:p>
    <w:p w:rsidR="00D123D0" w:rsidRPr="0018646B" w:rsidRDefault="00D123D0" w:rsidP="00137141">
      <w:pPr>
        <w:autoSpaceDE w:val="0"/>
        <w:autoSpaceDN w:val="0"/>
        <w:adjustRightInd w:val="0"/>
        <w:spacing w:after="80"/>
        <w:ind w:left="760" w:hanging="760"/>
        <w:rPr>
          <w:rFonts w:cs="Frutiger-Cn"/>
          <w:b/>
          <w:color w:val="333333"/>
        </w:rPr>
      </w:pPr>
    </w:p>
    <w:p w:rsidR="00D123D0" w:rsidRPr="0018646B" w:rsidRDefault="00D123D0" w:rsidP="00137141">
      <w:pPr>
        <w:autoSpaceDE w:val="0"/>
        <w:autoSpaceDN w:val="0"/>
        <w:adjustRightInd w:val="0"/>
        <w:spacing w:after="80"/>
        <w:ind w:left="760" w:hanging="760"/>
        <w:rPr>
          <w:rFonts w:cs="Frutiger-Cn"/>
          <w:b/>
          <w:color w:val="333333"/>
        </w:rPr>
      </w:pPr>
      <w:r w:rsidRPr="0018646B">
        <w:rPr>
          <w:b/>
        </w:rPr>
        <w:t>Note: For Viral Load, WHO GL does not have a separate discussion on benefits and harms but does discuss research gaps and implementation considerations</w:t>
      </w:r>
    </w:p>
    <w:p w:rsidR="00137141" w:rsidRPr="0018646B" w:rsidRDefault="00137141" w:rsidP="00137141">
      <w:pPr>
        <w:autoSpaceDE w:val="0"/>
        <w:autoSpaceDN w:val="0"/>
        <w:adjustRightInd w:val="0"/>
        <w:spacing w:after="80"/>
        <w:ind w:left="760" w:hanging="760"/>
        <w:rPr>
          <w:rFonts w:cs="Frutiger-Cn"/>
          <w:b/>
          <w:color w:val="333333"/>
        </w:rPr>
      </w:pPr>
      <w:r w:rsidRPr="0018646B">
        <w:rPr>
          <w:rFonts w:cs="Frutiger-Cn"/>
          <w:b/>
          <w:color w:val="333333"/>
        </w:rPr>
        <w:t>Research gaps</w:t>
      </w:r>
    </w:p>
    <w:p w:rsidR="00137141" w:rsidRPr="0018646B" w:rsidRDefault="00137141" w:rsidP="00137141">
      <w:pPr>
        <w:autoSpaceDE w:val="0"/>
        <w:autoSpaceDN w:val="0"/>
        <w:adjustRightInd w:val="0"/>
        <w:spacing w:after="80"/>
        <w:ind w:left="0" w:firstLine="0"/>
        <w:rPr>
          <w:rFonts w:cs="Frutiger-Cn"/>
          <w:color w:val="333333"/>
        </w:rPr>
      </w:pPr>
      <w:r w:rsidRPr="0018646B">
        <w:rPr>
          <w:rFonts w:cs="Frutiger-Cn"/>
          <w:color w:val="333333"/>
        </w:rPr>
        <w:t>While efforts continue to increase access to viral load testing, it is recognized that in some settings, viral load testing may remain difficult to access for some time. In such situations, there is a need to further validate the accuracy of alternative clinical and immunological strategies for predicting virological failure.</w:t>
      </w:r>
    </w:p>
    <w:p w:rsidR="00A95EBD" w:rsidRPr="0018646B" w:rsidRDefault="00A95EBD" w:rsidP="00137141">
      <w:pPr>
        <w:autoSpaceDE w:val="0"/>
        <w:autoSpaceDN w:val="0"/>
        <w:adjustRightInd w:val="0"/>
        <w:spacing w:before="40" w:after="80" w:line="221" w:lineRule="atLeast"/>
        <w:ind w:left="760" w:hanging="760"/>
        <w:rPr>
          <w:rFonts w:cs="PWPDT M+ Trade Gothic"/>
          <w:b/>
          <w:bCs/>
          <w:color w:val="57585A"/>
        </w:rPr>
      </w:pPr>
      <w:r w:rsidRPr="0018646B">
        <w:rPr>
          <w:rFonts w:cs="PWPDT M+ Trade Gothic"/>
          <w:b/>
          <w:bCs/>
          <w:color w:val="57585A"/>
        </w:rPr>
        <w:t>Implementation Considerations</w:t>
      </w:r>
    </w:p>
    <w:p w:rsidR="00A95EBD" w:rsidRPr="0018646B" w:rsidRDefault="00A95EBD" w:rsidP="00A95EBD">
      <w:pPr>
        <w:autoSpaceDE w:val="0"/>
        <w:autoSpaceDN w:val="0"/>
        <w:adjustRightInd w:val="0"/>
        <w:spacing w:before="40" w:after="80" w:line="221" w:lineRule="atLeast"/>
        <w:ind w:left="0" w:firstLine="0"/>
        <w:rPr>
          <w:rFonts w:cs="PWPDT M+ Trade Gothic"/>
          <w:bCs/>
          <w:color w:val="57585A"/>
        </w:rPr>
      </w:pPr>
      <w:r w:rsidRPr="0018646B">
        <w:rPr>
          <w:rFonts w:cs="PWPDT M+ Trade Gothic"/>
          <w:bCs/>
          <w:color w:val="57585A"/>
        </w:rPr>
        <w:t>Access to ART should be the first priority for all age groups, and lack of testing for monitoring treatment response  testing capacity is limited, it should be introduced in a phased approach. Examples of phased approaches include:</w:t>
      </w:r>
    </w:p>
    <w:p w:rsidR="00A95EBD" w:rsidRPr="0018646B" w:rsidRDefault="00A95EBD" w:rsidP="00A95EBD">
      <w:pPr>
        <w:pStyle w:val="ListParagraph"/>
        <w:numPr>
          <w:ilvl w:val="1"/>
          <w:numId w:val="41"/>
        </w:numPr>
        <w:autoSpaceDE w:val="0"/>
        <w:autoSpaceDN w:val="0"/>
        <w:adjustRightInd w:val="0"/>
        <w:spacing w:before="40" w:after="80" w:line="221" w:lineRule="atLeast"/>
        <w:rPr>
          <w:rFonts w:cs="PWPDT M+ Trade Gothic"/>
          <w:bCs/>
          <w:color w:val="57585A"/>
        </w:rPr>
      </w:pPr>
      <w:r w:rsidRPr="0018646B">
        <w:rPr>
          <w:rFonts w:cs="PWPDT M+ Trade Gothic"/>
          <w:bCs/>
          <w:color w:val="57585A"/>
        </w:rPr>
        <w:t>using viral load initially as a targeted test to confirm treatment failure;</w:t>
      </w:r>
    </w:p>
    <w:p w:rsidR="00A95EBD" w:rsidRPr="0018646B" w:rsidRDefault="00A95EBD" w:rsidP="00A95EBD">
      <w:pPr>
        <w:pStyle w:val="ListParagraph"/>
        <w:numPr>
          <w:ilvl w:val="1"/>
          <w:numId w:val="41"/>
        </w:numPr>
        <w:autoSpaceDE w:val="0"/>
        <w:autoSpaceDN w:val="0"/>
        <w:adjustRightInd w:val="0"/>
        <w:spacing w:before="40" w:after="80" w:line="221" w:lineRule="atLeast"/>
        <w:rPr>
          <w:rFonts w:cs="PWPDT M+ Trade Gothic"/>
          <w:bCs/>
          <w:color w:val="57585A"/>
        </w:rPr>
      </w:pPr>
      <w:r w:rsidRPr="0018646B">
        <w:rPr>
          <w:rFonts w:cs="PWPDT M+ Trade Gothic"/>
          <w:bCs/>
          <w:color w:val="57585A"/>
        </w:rPr>
        <w:t>leveraging existing systems of DBS collection and transport for infant diagnosis in order to roll out viral load testing in maternal and child health settings;</w:t>
      </w:r>
    </w:p>
    <w:p w:rsidR="00A95EBD" w:rsidRPr="0018646B" w:rsidRDefault="00A95EBD" w:rsidP="00A95EBD">
      <w:pPr>
        <w:pStyle w:val="ListParagraph"/>
        <w:numPr>
          <w:ilvl w:val="1"/>
          <w:numId w:val="41"/>
        </w:numPr>
        <w:autoSpaceDE w:val="0"/>
        <w:autoSpaceDN w:val="0"/>
        <w:adjustRightInd w:val="0"/>
        <w:spacing w:before="40" w:after="80" w:line="221" w:lineRule="atLeast"/>
        <w:rPr>
          <w:rFonts w:cs="PWPDT M+ Trade Gothic"/>
          <w:bCs/>
          <w:color w:val="57585A"/>
        </w:rPr>
      </w:pPr>
      <w:r w:rsidRPr="0018646B">
        <w:rPr>
          <w:rFonts w:cs="PWPDT M+ Trade Gothic"/>
          <w:bCs/>
          <w:color w:val="57585A"/>
        </w:rPr>
        <w:t>prioritizing viral load testing for pregnant and breastfeeding women, especially around the time of delivery, as sustained viral suppression is critical to prevention of transmission to the child, and documented high viral load at delivery is an indication for enhanced infant prophylaxis;</w:t>
      </w:r>
    </w:p>
    <w:p w:rsidR="00A95EBD" w:rsidRPr="0018646B" w:rsidRDefault="00A95EBD" w:rsidP="00A95EBD">
      <w:pPr>
        <w:pStyle w:val="ListParagraph"/>
        <w:numPr>
          <w:ilvl w:val="1"/>
          <w:numId w:val="41"/>
        </w:numPr>
        <w:autoSpaceDE w:val="0"/>
        <w:autoSpaceDN w:val="0"/>
        <w:adjustRightInd w:val="0"/>
        <w:spacing w:before="40" w:after="80" w:line="221" w:lineRule="atLeast"/>
        <w:rPr>
          <w:rFonts w:cs="PWPDT M+ Trade Gothic"/>
          <w:bCs/>
          <w:color w:val="57585A"/>
        </w:rPr>
      </w:pPr>
      <w:r w:rsidRPr="0018646B">
        <w:rPr>
          <w:rFonts w:cs="PWPDT M+ Trade Gothic"/>
          <w:bCs/>
          <w:color w:val="57585A"/>
        </w:rPr>
        <w:t>preferentially offering viral load testing to HIV-infected infants and children for whom CD4-based criteria are particularly poor and in light of the limited drug options available for lifelong treatment; in addition, infants exposed to maternal ART and/or postnatal prophylaxis have been reported to have high risk of acquiring and selecting HIV drug resistance (343) and, as a result, are at higher risk of treatment failure early, especially if treated with NNRTI-based regimens;</w:t>
      </w:r>
    </w:p>
    <w:p w:rsidR="00A95EBD" w:rsidRPr="0018646B" w:rsidRDefault="00A95EBD" w:rsidP="00A95EBD">
      <w:pPr>
        <w:pStyle w:val="ListParagraph"/>
        <w:numPr>
          <w:ilvl w:val="1"/>
          <w:numId w:val="41"/>
        </w:numPr>
        <w:autoSpaceDE w:val="0"/>
        <w:autoSpaceDN w:val="0"/>
        <w:adjustRightInd w:val="0"/>
        <w:spacing w:before="40" w:after="80" w:line="221" w:lineRule="atLeast"/>
        <w:rPr>
          <w:rFonts w:cs="PWPDT M+ Trade Gothic"/>
          <w:bCs/>
          <w:color w:val="57585A"/>
        </w:rPr>
      </w:pPr>
      <w:r w:rsidRPr="0018646B">
        <w:rPr>
          <w:rFonts w:cs="PWPDT M+ Trade Gothic"/>
          <w:bCs/>
          <w:color w:val="57585A"/>
        </w:rPr>
        <w:t>giving consideration to more frequent viral load testing in adolescents who are at the highest risk for HIV drug resistance and for whom monitoring of adherence might be particularly challenging in settings where viral load monitoring is widely available; and</w:t>
      </w:r>
    </w:p>
    <w:p w:rsidR="00A95EBD" w:rsidRPr="0018646B" w:rsidRDefault="00A95EBD" w:rsidP="00A95EBD">
      <w:pPr>
        <w:pStyle w:val="ListParagraph"/>
        <w:numPr>
          <w:ilvl w:val="1"/>
          <w:numId w:val="41"/>
        </w:numPr>
        <w:autoSpaceDE w:val="0"/>
        <w:autoSpaceDN w:val="0"/>
        <w:adjustRightInd w:val="0"/>
        <w:spacing w:before="40" w:after="80" w:line="221" w:lineRule="atLeast"/>
        <w:rPr>
          <w:rFonts w:cs="PWPDT M+ Trade Gothic"/>
          <w:bCs/>
          <w:color w:val="57585A"/>
        </w:rPr>
      </w:pPr>
      <w:r w:rsidRPr="0018646B">
        <w:rPr>
          <w:rFonts w:cs="PWPDT M+ Trade Gothic"/>
          <w:bCs/>
          <w:color w:val="57585A"/>
        </w:rPr>
        <w:t>ensuring that health-care providers are adequately trained to conduct timely viral load testing and take appropriate clinical actions when the viral load is high, such as intensified adherence support and possible regimen switches.</w:t>
      </w:r>
    </w:p>
    <w:p w:rsidR="00A95EBD" w:rsidRPr="0018646B" w:rsidRDefault="00A95EBD" w:rsidP="00A95EBD">
      <w:pPr>
        <w:autoSpaceDE w:val="0"/>
        <w:autoSpaceDN w:val="0"/>
        <w:adjustRightInd w:val="0"/>
        <w:spacing w:before="40" w:after="80" w:line="221" w:lineRule="atLeast"/>
        <w:ind w:left="0" w:firstLine="0"/>
        <w:rPr>
          <w:rFonts w:cs="PWPDT M+ Trade Gothic"/>
          <w:bCs/>
          <w:color w:val="57585A"/>
        </w:rPr>
      </w:pPr>
      <w:r w:rsidRPr="0018646B">
        <w:rPr>
          <w:rFonts w:cs="PWPDT M+ Trade Gothic"/>
          <w:bCs/>
          <w:color w:val="57585A"/>
        </w:rPr>
        <w:t>Views expressed during a community consultation undertaken for these guidelines underscored the importance of improving literacy about viral load testing (5). It is generally understood that access to viral load testing gives clients a measure of understanding, control and motivation to adhere to and manage their HIV infection. Adherence counselling needs to address the implications of a detectable or undetectable viral load, particularly in settings where treatment success was previously described only in terms of a rising CD4 cell count</w:t>
      </w:r>
    </w:p>
    <w:p w:rsidR="00A95EBD" w:rsidRPr="0018646B" w:rsidRDefault="00A95EBD" w:rsidP="00A95EBD">
      <w:pPr>
        <w:autoSpaceDE w:val="0"/>
        <w:autoSpaceDN w:val="0"/>
        <w:adjustRightInd w:val="0"/>
        <w:spacing w:before="40" w:after="80" w:line="221" w:lineRule="atLeast"/>
        <w:ind w:left="0" w:firstLine="0"/>
        <w:rPr>
          <w:rFonts w:cs="PWPDT M+ Trade Gothic"/>
          <w:bCs/>
          <w:color w:val="57585A"/>
        </w:rPr>
      </w:pPr>
      <w:r w:rsidRPr="0018646B">
        <w:rPr>
          <w:rFonts w:cs="PWPDT M+ Trade Gothic"/>
          <w:bCs/>
          <w:color w:val="57585A"/>
        </w:rPr>
        <w:t>CD4 cell count for ART monitoring should be stopped only in settings where viral load monitoring can be assured. CD4 measurement still has an important role to play in assessing baseline risk of disease progression, particularly for individuals presenting with advanced disease, decisions regarding starting and stopping prophylaxis for OIs, and prioritization decisions regarding ART initiation in settings where universal treatment is not possible. CD4 cell count measurement may also be important for people who are failing ART.</w:t>
      </w:r>
    </w:p>
    <w:p w:rsidR="00137141" w:rsidRPr="0018646B" w:rsidRDefault="00137141" w:rsidP="00B32AA6">
      <w:pPr>
        <w:autoSpaceDE w:val="0"/>
        <w:autoSpaceDN w:val="0"/>
        <w:adjustRightInd w:val="0"/>
        <w:spacing w:before="40" w:after="80" w:line="221" w:lineRule="atLeast"/>
        <w:ind w:left="760" w:hanging="760"/>
        <w:rPr>
          <w:rFonts w:cs="PWPDT M+ Trade Gothic"/>
          <w:b/>
          <w:bCs/>
          <w:color w:val="57585A"/>
        </w:rPr>
      </w:pPr>
    </w:p>
    <w:p w:rsidR="00137141" w:rsidRPr="0018646B" w:rsidRDefault="00137141" w:rsidP="00B32AA6">
      <w:pPr>
        <w:autoSpaceDE w:val="0"/>
        <w:autoSpaceDN w:val="0"/>
        <w:adjustRightInd w:val="0"/>
        <w:spacing w:before="40" w:after="80" w:line="221" w:lineRule="atLeast"/>
        <w:ind w:left="760" w:hanging="760"/>
        <w:rPr>
          <w:rFonts w:cs="PWPDT M+ Trade Gothic"/>
          <w:b/>
          <w:bCs/>
          <w:color w:val="57585A"/>
        </w:rPr>
      </w:pPr>
      <w:r w:rsidRPr="0018646B">
        <w:rPr>
          <w:rFonts w:cs="PWPDT M+ Trade Gothic"/>
          <w:b/>
          <w:bCs/>
          <w:color w:val="57585A"/>
        </w:rPr>
        <w:t>TREATMENT</w:t>
      </w:r>
    </w:p>
    <w:p w:rsidR="00D123D0" w:rsidRPr="0018646B" w:rsidRDefault="00D123D0" w:rsidP="000B2690">
      <w:pPr>
        <w:autoSpaceDE w:val="0"/>
        <w:autoSpaceDN w:val="0"/>
        <w:adjustRightInd w:val="0"/>
        <w:spacing w:before="40" w:after="80" w:line="221" w:lineRule="atLeast"/>
        <w:rPr>
          <w:rFonts w:cs="PWPDT M+ Trade Gothic"/>
          <w:b/>
          <w:bCs/>
          <w:color w:val="57585A"/>
        </w:rPr>
      </w:pPr>
    </w:p>
    <w:p w:rsidR="00D123D0" w:rsidRPr="0018646B" w:rsidRDefault="00D123D0" w:rsidP="00D123D0">
      <w:pPr>
        <w:autoSpaceDE w:val="0"/>
        <w:autoSpaceDN w:val="0"/>
        <w:adjustRightInd w:val="0"/>
        <w:ind w:left="0" w:firstLine="0"/>
        <w:rPr>
          <w:rFonts w:cs="Times New Roman"/>
          <w:color w:val="000000"/>
          <w:u w:val="single"/>
        </w:rPr>
      </w:pPr>
      <w:r w:rsidRPr="0018646B">
        <w:rPr>
          <w:rFonts w:cs="Times New Roman"/>
          <w:color w:val="000000"/>
          <w:u w:val="single"/>
        </w:rPr>
        <w:t xml:space="preserve">Severe adverse events and laboratory abnormalities </w:t>
      </w:r>
    </w:p>
    <w:p w:rsidR="00D123D0" w:rsidRPr="0018646B" w:rsidRDefault="00D123D0" w:rsidP="00D123D0">
      <w:pPr>
        <w:autoSpaceDE w:val="0"/>
        <w:autoSpaceDN w:val="0"/>
        <w:adjustRightInd w:val="0"/>
        <w:spacing w:before="40" w:after="80" w:line="221" w:lineRule="atLeast"/>
        <w:ind w:left="0" w:firstLine="0"/>
        <w:rPr>
          <w:rFonts w:cs="PWPDT M+ Trade Gothic"/>
          <w:b/>
          <w:bCs/>
          <w:color w:val="57585A"/>
        </w:rPr>
      </w:pPr>
      <w:r w:rsidRPr="0018646B">
        <w:rPr>
          <w:rFonts w:cs="Times New Roman"/>
          <w:color w:val="000000"/>
        </w:rPr>
        <w:t>One RCT reported severe adverse events between early and deferred treatment groups.11 Investigators found no difference between treatment arms for any of the reported critical outcomes. Specifically, there was no noted increase in grade 3/4 laboratory abnormalities (which did not include neutropoenia) (HR=0.58; 95% 0.30-1.11), hepatic severe adverse events (RR=0.76; 95% CI 0.20-2.85) (Figure 7), renal several adverse events (RR=0.09; 95% CI 0.01-1.54) (Figure 8), neurological severe adverse events (RR=1.42; 95% CI 0.24-8.46), and cardiovascular severe adverse events (RR=0.32; 95% CI 0.01-7.73).11 One observational study compared reported severe adverse events between early and deferred treatment cohorts.14 Investigators found a significantly increased risk of any severe laboratory adverse event among those who were treated early when compared to those who initiated treatment with CD4 counts &lt;350 cells/μL (RR=1.43; 95% CI 1.13-1.81). Additionally, they found a significantly increased risk of hepatic severe adverse events in those patients who initiated treatment early when compared to those who delayed treatment (RR=1.45; 95% CI 1.03-2.04) (Figure 7). However, no significant differences were noted between treatment arms for renal (RR=0.90; 95% CI 0.40-2.01) (Figure 8), haematologic (RR=1.40; 95% CI 0.87-2.26) or other severe adverse events (RR=1.40; 95% CI 0.94-2.08).</w:t>
      </w:r>
    </w:p>
    <w:p w:rsidR="00B32AA6" w:rsidRPr="0018646B" w:rsidRDefault="00B32AA6" w:rsidP="00B32AA6">
      <w:pPr>
        <w:autoSpaceDE w:val="0"/>
        <w:autoSpaceDN w:val="0"/>
        <w:adjustRightInd w:val="0"/>
        <w:spacing w:before="40" w:after="80" w:line="221" w:lineRule="atLeast"/>
        <w:ind w:left="760" w:hanging="760"/>
        <w:rPr>
          <w:rFonts w:cs="PWPDT M+ Trade Gothic"/>
          <w:bCs/>
          <w:color w:val="57585A"/>
          <w:u w:val="single"/>
        </w:rPr>
      </w:pPr>
      <w:r w:rsidRPr="0018646B">
        <w:rPr>
          <w:rFonts w:cs="PWPDT M+ Trade Gothic"/>
          <w:bCs/>
          <w:color w:val="57585A"/>
          <w:u w:val="single"/>
        </w:rPr>
        <w:t xml:space="preserve">When to start ART in adults (&gt;19 years old) - Comparing benefits and harm </w:t>
      </w:r>
    </w:p>
    <w:p w:rsidR="00B32AA6" w:rsidRPr="0018646B" w:rsidRDefault="00B32AA6" w:rsidP="00B32AA6">
      <w:pPr>
        <w:autoSpaceDE w:val="0"/>
        <w:autoSpaceDN w:val="0"/>
        <w:adjustRightInd w:val="0"/>
        <w:spacing w:after="160" w:line="201" w:lineRule="atLeast"/>
        <w:ind w:left="0" w:firstLine="0"/>
        <w:rPr>
          <w:rFonts w:cs="PWPDT M+ Frutiger"/>
          <w:color w:val="57585A"/>
        </w:rPr>
      </w:pPr>
      <w:r w:rsidRPr="0018646B">
        <w:rPr>
          <w:rFonts w:cs="PWPDT M+ Frutiger"/>
          <w:color w:val="57585A"/>
        </w:rPr>
        <w:t xml:space="preserve">The benefits of earlier ART initiation include fewer events caused by severe HIV morbidity and disease progression, improved uptake and initial linkage to care, better immune recovery and decreased HIV transmission. Despite being statistically significant, the comparative outcome differences among study arms with higher baseline CD4 cell counts (e.g. CD4 counts between 350 and 500 cells/mm3, compared to those with CD4 counts over 500 cells/mm3) were modest. Furthermore, not all observational studies have consistently demonstrated the beneficial effect of initiating ART at a CD4 cell count at or above 500 cells/mm3 on mortality, the incidence of inflammation-related non-AIDS events and ongoing viral replication, compared with initiation at CD4 count at or below 500 cells/mm3. Concerns have also been expressed that, given limited resources, very early treatment could result in some people who urgently need treatment being displaced by those for whom treatment would be beneficial but is less urgently needed. The long-term safety profile of ART and the implications of earlier treatment initiation on drug resistance, toxicity, adherence and retention need to be closely monitored. Follow-up will be needed to evaluate the potential harm and benefits of ART over a lifetime. </w:t>
      </w:r>
    </w:p>
    <w:p w:rsidR="00B32AA6" w:rsidRPr="0018646B" w:rsidRDefault="00B32AA6" w:rsidP="00B32AA6">
      <w:pPr>
        <w:autoSpaceDE w:val="0"/>
        <w:autoSpaceDN w:val="0"/>
        <w:adjustRightInd w:val="0"/>
        <w:spacing w:after="160" w:line="201" w:lineRule="atLeast"/>
        <w:ind w:left="0" w:firstLine="0"/>
        <w:rPr>
          <w:rFonts w:cs="PWPDT M+ Frutiger"/>
          <w:color w:val="57585A"/>
        </w:rPr>
      </w:pPr>
      <w:r w:rsidRPr="0018646B">
        <w:rPr>
          <w:rFonts w:cs="PWPDT M+ Frutiger"/>
          <w:color w:val="57585A"/>
        </w:rPr>
        <w:t xml:space="preserve">It is increasingly recognized that, in settings with a high burden of HIV and TB infections, increasing ART coverage is associated with decreasing TB case notifications, and this is likely to improve when ART is started earlier. </w:t>
      </w:r>
    </w:p>
    <w:p w:rsidR="00B32AA6" w:rsidRPr="0018646B" w:rsidRDefault="00B32AA6" w:rsidP="00B32AA6">
      <w:pPr>
        <w:ind w:left="0" w:firstLine="0"/>
      </w:pPr>
      <w:r w:rsidRPr="0018646B">
        <w:rPr>
          <w:rFonts w:cs="PWPDT M+ Frutiger"/>
          <w:color w:val="57585A"/>
        </w:rPr>
        <w:t xml:space="preserve">A modelling study based on national cohort data from four countries in sub-Saharan Africa concluded that programmatic gains and mortality reduction were accrued by eliminating the pre-ART period, suggesting that making treatment available to everyone will strengthen the continuum of care </w:t>
      </w:r>
      <w:r w:rsidRPr="0018646B">
        <w:rPr>
          <w:rFonts w:eastAsia="Myriad Pro Cond" w:cs="Myriad Pro Cond"/>
          <w:i/>
          <w:iCs/>
          <w:color w:val="57585A"/>
        </w:rPr>
        <w:t>(69)</w:t>
      </w:r>
      <w:r w:rsidRPr="0018646B">
        <w:rPr>
          <w:rFonts w:eastAsia="Myriad Pro Cond" w:cs="PWPDT M+ Frutiger"/>
          <w:color w:val="57585A"/>
        </w:rPr>
        <w:t>.</w:t>
      </w:r>
    </w:p>
    <w:p w:rsidR="00B32AA6" w:rsidRPr="0018646B" w:rsidRDefault="00B32AA6" w:rsidP="002E2177">
      <w:pPr>
        <w:ind w:left="0" w:firstLine="0"/>
      </w:pPr>
    </w:p>
    <w:p w:rsidR="00E429A2" w:rsidRPr="0018646B" w:rsidRDefault="00E429A2" w:rsidP="00B32AA6">
      <w:pPr>
        <w:autoSpaceDE w:val="0"/>
        <w:autoSpaceDN w:val="0"/>
        <w:adjustRightInd w:val="0"/>
        <w:spacing w:line="161" w:lineRule="atLeast"/>
        <w:ind w:left="0" w:firstLine="0"/>
        <w:rPr>
          <w:rFonts w:cs="Frutiger 47LightCn"/>
          <w:b/>
          <w:bCs/>
          <w:color w:val="57585A"/>
        </w:rPr>
      </w:pPr>
    </w:p>
    <w:p w:rsidR="00B32AA6" w:rsidRPr="0018646B" w:rsidRDefault="00B32AA6" w:rsidP="00B32AA6">
      <w:pPr>
        <w:autoSpaceDE w:val="0"/>
        <w:autoSpaceDN w:val="0"/>
        <w:adjustRightInd w:val="0"/>
        <w:spacing w:line="161" w:lineRule="atLeast"/>
        <w:ind w:left="0" w:firstLine="0"/>
        <w:rPr>
          <w:rFonts w:eastAsia="Myriad Pro Cond" w:cs="PWPDT M+ Frutiger"/>
          <w:b/>
          <w:color w:val="57585A"/>
        </w:rPr>
      </w:pPr>
    </w:p>
    <w:p w:rsidR="00B32AA6" w:rsidRPr="0018646B" w:rsidRDefault="00B32AA6" w:rsidP="00B32AA6">
      <w:pPr>
        <w:autoSpaceDE w:val="0"/>
        <w:autoSpaceDN w:val="0"/>
        <w:adjustRightInd w:val="0"/>
        <w:spacing w:line="161" w:lineRule="atLeast"/>
        <w:ind w:left="0" w:firstLine="0"/>
        <w:rPr>
          <w:rFonts w:cs="PWPDT M+ Frutiger"/>
          <w:b/>
          <w:color w:val="221E1F"/>
        </w:rPr>
      </w:pPr>
    </w:p>
    <w:p w:rsidR="00B32AA6" w:rsidRPr="0018646B" w:rsidRDefault="00B32AA6" w:rsidP="002E2177">
      <w:pPr>
        <w:ind w:left="0" w:firstLine="0"/>
      </w:pPr>
    </w:p>
    <w:p w:rsidR="00496AF8" w:rsidRPr="0018646B" w:rsidRDefault="00C5180E" w:rsidP="002E2177">
      <w:pPr>
        <w:ind w:left="0" w:firstLine="0"/>
        <w:rPr>
          <w:b/>
          <w:noProof/>
        </w:rPr>
      </w:pPr>
      <w:r w:rsidRPr="0018646B">
        <w:rPr>
          <w:b/>
          <w:noProof/>
        </w:rPr>
        <w:t>UPDATE TO THE SYSTEMATIC REVIEW(S) OF THE BODY OF EVIDENCE</w:t>
      </w:r>
    </w:p>
    <w:p w:rsidR="00496AF8" w:rsidRPr="0018646B" w:rsidRDefault="001B772D" w:rsidP="002E2177">
      <w:pPr>
        <w:ind w:left="432" w:hanging="432"/>
        <w:rPr>
          <w:noProof/>
        </w:rPr>
      </w:pPr>
      <w:r w:rsidRPr="0018646B">
        <w:rPr>
          <w:b/>
          <w:noProof/>
          <w:color w:val="0000FF"/>
        </w:rPr>
        <w:t>1</w:t>
      </w:r>
      <w:r w:rsidR="00837121" w:rsidRPr="0018646B">
        <w:rPr>
          <w:b/>
          <w:noProof/>
          <w:color w:val="0000FF"/>
        </w:rPr>
        <w:t>a</w:t>
      </w:r>
      <w:r w:rsidRPr="0018646B">
        <w:rPr>
          <w:b/>
          <w:noProof/>
          <w:color w:val="0000FF"/>
        </w:rPr>
        <w:t>.</w:t>
      </w:r>
      <w:r w:rsidR="00773485" w:rsidRPr="0018646B">
        <w:rPr>
          <w:b/>
          <w:noProof/>
          <w:color w:val="0000FF"/>
        </w:rPr>
        <w:t>7.</w:t>
      </w:r>
      <w:r w:rsidR="00C84623" w:rsidRPr="0018646B">
        <w:rPr>
          <w:b/>
          <w:noProof/>
          <w:color w:val="0000FF"/>
        </w:rPr>
        <w:t>9</w:t>
      </w:r>
      <w:r w:rsidRPr="0018646B">
        <w:rPr>
          <w:b/>
          <w:noProof/>
          <w:color w:val="0000FF"/>
        </w:rPr>
        <w:t>.</w:t>
      </w:r>
      <w:r w:rsidRPr="0018646B">
        <w:rPr>
          <w:noProof/>
        </w:rPr>
        <w:t xml:space="preserve"> </w:t>
      </w:r>
      <w:r w:rsidR="00837121" w:rsidRPr="0018646B">
        <w:rPr>
          <w:b/>
          <w:noProof/>
        </w:rPr>
        <w:t xml:space="preserve">If </w:t>
      </w:r>
      <w:r w:rsidR="00496AF8" w:rsidRPr="0018646B">
        <w:rPr>
          <w:b/>
          <w:noProof/>
        </w:rPr>
        <w:t>new studies have been conducted</w:t>
      </w:r>
      <w:r w:rsidR="00837121" w:rsidRPr="0018646B">
        <w:rPr>
          <w:b/>
          <w:noProof/>
        </w:rPr>
        <w:t xml:space="preserve"> since the systematic review </w:t>
      </w:r>
      <w:r w:rsidR="00496AF8" w:rsidRPr="0018646B">
        <w:rPr>
          <w:b/>
          <w:noProof/>
        </w:rPr>
        <w:t>of the body of evidence</w:t>
      </w:r>
      <w:r w:rsidR="0094689F" w:rsidRPr="0018646B">
        <w:rPr>
          <w:b/>
          <w:noProof/>
        </w:rPr>
        <w:t xml:space="preserve">, provide for </w:t>
      </w:r>
      <w:r w:rsidR="00496AF8" w:rsidRPr="0018646B">
        <w:rPr>
          <w:b/>
          <w:noProof/>
          <w:u w:val="single"/>
        </w:rPr>
        <w:t>each</w:t>
      </w:r>
      <w:r w:rsidR="00496AF8" w:rsidRPr="0018646B">
        <w:rPr>
          <w:b/>
          <w:noProof/>
        </w:rPr>
        <w:t xml:space="preserve"> </w:t>
      </w:r>
      <w:r w:rsidR="002875E9" w:rsidRPr="0018646B">
        <w:rPr>
          <w:b/>
          <w:noProof/>
        </w:rPr>
        <w:t xml:space="preserve">new </w:t>
      </w:r>
      <w:r w:rsidR="0094689F" w:rsidRPr="0018646B">
        <w:rPr>
          <w:b/>
          <w:noProof/>
        </w:rPr>
        <w:t>study</w:t>
      </w:r>
      <w:r w:rsidR="00496AF8" w:rsidRPr="0018646B">
        <w:rPr>
          <w:b/>
          <w:noProof/>
        </w:rPr>
        <w:t xml:space="preserve">: </w:t>
      </w:r>
      <w:r w:rsidR="006709EB" w:rsidRPr="0018646B">
        <w:rPr>
          <w:b/>
          <w:noProof/>
        </w:rPr>
        <w:t>1</w:t>
      </w:r>
      <w:r w:rsidR="00496AF8" w:rsidRPr="0018646B">
        <w:rPr>
          <w:b/>
          <w:noProof/>
        </w:rPr>
        <w:t>) citation, 2) description, 3) results, 4) impact on conclusions of systematic review</w:t>
      </w:r>
      <w:r w:rsidR="00496AF8" w:rsidRPr="0018646B">
        <w:rPr>
          <w:noProof/>
        </w:rPr>
        <w:t>.</w:t>
      </w:r>
      <w:r w:rsidR="000D649E" w:rsidRPr="0018646B">
        <w:rPr>
          <w:noProof/>
        </w:rPr>
        <w:t xml:space="preserve">  </w:t>
      </w:r>
    </w:p>
    <w:p w:rsidR="00604047" w:rsidRPr="0018646B" w:rsidRDefault="00604047" w:rsidP="002E2177">
      <w:pPr>
        <w:ind w:left="432" w:hanging="432"/>
      </w:pPr>
    </w:p>
    <w:p w:rsidR="00517B62" w:rsidRPr="0018646B" w:rsidRDefault="00996BDD" w:rsidP="00517B62">
      <w:pPr>
        <w:autoSpaceDE w:val="0"/>
        <w:autoSpaceDN w:val="0"/>
        <w:adjustRightInd w:val="0"/>
        <w:ind w:left="0" w:firstLine="0"/>
        <w:rPr>
          <w:b/>
          <w:color w:val="000000" w:themeColor="text1"/>
        </w:rPr>
      </w:pPr>
      <w:r w:rsidRPr="0018646B">
        <w:rPr>
          <w:b/>
          <w:color w:val="000000" w:themeColor="text1"/>
        </w:rPr>
        <w:t xml:space="preserve"> </w:t>
      </w:r>
    </w:p>
    <w:p w:rsidR="0094689F" w:rsidRPr="0018646B" w:rsidRDefault="00925F11" w:rsidP="002E2177">
      <w:pPr>
        <w:ind w:left="0" w:firstLine="0"/>
        <w:rPr>
          <w:b/>
          <w:color w:val="0070C0"/>
        </w:rPr>
      </w:pPr>
      <w:r w:rsidRPr="0018646B">
        <w:rPr>
          <w:b/>
          <w:iCs/>
          <w:caps/>
        </w:rPr>
        <w:t>_________________________</w:t>
      </w:r>
    </w:p>
    <w:p w:rsidR="00837121" w:rsidRPr="0018646B" w:rsidRDefault="00837121" w:rsidP="002E2177">
      <w:pPr>
        <w:ind w:left="0" w:firstLine="0"/>
        <w:rPr>
          <w:b/>
        </w:rPr>
      </w:pPr>
      <w:bookmarkStart w:id="10" w:name="Section1a8"/>
      <w:bookmarkEnd w:id="10"/>
      <w:r w:rsidRPr="0018646B">
        <w:rPr>
          <w:b/>
          <w:color w:val="0000FF"/>
        </w:rPr>
        <w:t xml:space="preserve">1a.8 </w:t>
      </w:r>
      <w:r w:rsidRPr="0018646B">
        <w:rPr>
          <w:b/>
        </w:rPr>
        <w:t>OTHER SOURCE OF EVIDENCE</w:t>
      </w:r>
    </w:p>
    <w:p w:rsidR="00837121" w:rsidRPr="0018646B" w:rsidRDefault="00837121" w:rsidP="002E2177">
      <w:pPr>
        <w:ind w:left="0" w:firstLine="0"/>
        <w:rPr>
          <w:i/>
        </w:rPr>
      </w:pPr>
      <w:r w:rsidRPr="0018646B">
        <w:rPr>
          <w:i/>
        </w:rPr>
        <w:t xml:space="preserve">If source of evidence is </w:t>
      </w:r>
      <w:r w:rsidR="002B06BD" w:rsidRPr="0018646B">
        <w:rPr>
          <w:i/>
        </w:rPr>
        <w:t xml:space="preserve">NOT </w:t>
      </w:r>
      <w:r w:rsidRPr="0018646B">
        <w:rPr>
          <w:i/>
        </w:rPr>
        <w:t xml:space="preserve">from a clinical practice guideline, USPSTF, or systematic review, please describe the evidence on which you are basing </w:t>
      </w:r>
      <w:r w:rsidR="00EE1F87" w:rsidRPr="0018646B">
        <w:rPr>
          <w:i/>
        </w:rPr>
        <w:t xml:space="preserve">the </w:t>
      </w:r>
      <w:r w:rsidRPr="0018646B">
        <w:rPr>
          <w:i/>
        </w:rPr>
        <w:t>performance measure.</w:t>
      </w:r>
    </w:p>
    <w:p w:rsidR="00837121" w:rsidRPr="0018646B" w:rsidRDefault="00837121" w:rsidP="002E2177">
      <w:pPr>
        <w:ind w:left="0" w:firstLine="0"/>
      </w:pPr>
    </w:p>
    <w:p w:rsidR="0032556F" w:rsidRPr="0018646B" w:rsidRDefault="0065507B" w:rsidP="0032556F">
      <w:pPr>
        <w:ind w:left="0" w:firstLine="0"/>
      </w:pPr>
      <w:r w:rsidRPr="0018646B">
        <w:t xml:space="preserve">Other source of evidence include articles and studies on program data, review articles, reports, cohort studies, and opinion articles. </w:t>
      </w:r>
    </w:p>
    <w:p w:rsidR="0032556F" w:rsidRPr="0018646B" w:rsidRDefault="0032556F" w:rsidP="0032556F">
      <w:pPr>
        <w:ind w:left="0" w:firstLine="0"/>
      </w:pPr>
    </w:p>
    <w:p w:rsidR="00837121" w:rsidRPr="0018646B" w:rsidRDefault="00837121" w:rsidP="002E2177">
      <w:pPr>
        <w:ind w:left="0" w:firstLine="0"/>
      </w:pPr>
      <w:r w:rsidRPr="0018646B">
        <w:rPr>
          <w:b/>
          <w:color w:val="0000FF"/>
        </w:rPr>
        <w:t>1a.8.1</w:t>
      </w:r>
      <w:r w:rsidRPr="0018646B">
        <w:rPr>
          <w:color w:val="0070C0"/>
        </w:rPr>
        <w:t xml:space="preserve"> </w:t>
      </w:r>
      <w:r w:rsidRPr="0018646B">
        <w:rPr>
          <w:b/>
        </w:rPr>
        <w:t>What process was used to identify the evidence?</w:t>
      </w:r>
    </w:p>
    <w:p w:rsidR="0065507B" w:rsidRPr="0018646B" w:rsidRDefault="0065507B" w:rsidP="0065507B">
      <w:pPr>
        <w:ind w:left="0" w:firstLine="0"/>
      </w:pPr>
      <w:r w:rsidRPr="0018646B">
        <w:t>Searched Pubmed for English-language publications assessing the associations between community viral load, antiretroviral therapy (ART) coverage, treatment outcomes, quality of care, and HIV incidence.</w:t>
      </w:r>
    </w:p>
    <w:p w:rsidR="0065507B" w:rsidRPr="0018646B" w:rsidRDefault="0065507B" w:rsidP="0065507B">
      <w:pPr>
        <w:ind w:left="0" w:firstLine="0"/>
      </w:pPr>
      <w:r w:rsidRPr="0018646B">
        <w:t xml:space="preserve">MESH Terms: HIV, viral load, community viral load, population viral load, population surveillance, ART, antiretroviral therapy.  </w:t>
      </w:r>
    </w:p>
    <w:p w:rsidR="0065507B" w:rsidRPr="0018646B" w:rsidRDefault="0065507B" w:rsidP="0065507B">
      <w:pPr>
        <w:ind w:left="0" w:firstLine="0"/>
      </w:pPr>
      <w:r w:rsidRPr="0018646B">
        <w:t>Timeline: Articles published since 2008 since the first publications regarding CVL appeared in 2009.</w:t>
      </w:r>
    </w:p>
    <w:p w:rsidR="0065507B" w:rsidRPr="0018646B" w:rsidRDefault="0065507B" w:rsidP="0065507B">
      <w:pPr>
        <w:ind w:left="0" w:firstLine="0"/>
      </w:pPr>
      <w:r w:rsidRPr="0018646B">
        <w:t xml:space="preserve">The search identified 1120 publications including reports that used program data, review articles, and cohort studies, and opinion articles. </w:t>
      </w:r>
      <w:r w:rsidR="00C7742C" w:rsidRPr="0018646B">
        <w:t xml:space="preserve">To ensure that we did not overwhelm the reviewing panel, we have only </w:t>
      </w:r>
      <w:r w:rsidRPr="0018646B">
        <w:t xml:space="preserve">included </w:t>
      </w:r>
      <w:r w:rsidR="00C7742C" w:rsidRPr="0018646B">
        <w:t xml:space="preserve">citations and abstracts/summaries for the </w:t>
      </w:r>
      <w:r w:rsidRPr="0018646B">
        <w:t>10-12 seminal articles on the topic</w:t>
      </w:r>
      <w:r w:rsidR="00C7742C" w:rsidRPr="0018646B">
        <w:t>.</w:t>
      </w:r>
      <w:r w:rsidRPr="0018646B">
        <w:t>. These articles include report/implementation guidance from the Centers for Disease Control and Prevention on calculating community viral load, common language for viral load measurements, estimating measures of viral load, and the ability of surveillance programs to calculate viral load measures. Other studies analyzed administrative data from USA and Canada to find an association between decreasing community viral load among individuals with HIV seeking care (in-care viral load) and new HIV diagnoses in the communities</w:t>
      </w:r>
    </w:p>
    <w:p w:rsidR="00837121" w:rsidRPr="0018646B" w:rsidRDefault="00837121" w:rsidP="002E2177">
      <w:pPr>
        <w:ind w:left="0" w:firstLine="0"/>
      </w:pPr>
    </w:p>
    <w:p w:rsidR="00837121" w:rsidRPr="0018646B" w:rsidRDefault="00837121" w:rsidP="002E2177">
      <w:pPr>
        <w:ind w:left="0" w:firstLine="0"/>
        <w:rPr>
          <w:b/>
        </w:rPr>
      </w:pPr>
      <w:r w:rsidRPr="0018646B">
        <w:rPr>
          <w:b/>
          <w:color w:val="0000FF"/>
        </w:rPr>
        <w:t>1a.8.2.</w:t>
      </w:r>
      <w:r w:rsidRPr="0018646B">
        <w:rPr>
          <w:color w:val="0070C0"/>
        </w:rPr>
        <w:t xml:space="preserve"> </w:t>
      </w:r>
      <w:r w:rsidR="006C7F30" w:rsidRPr="0018646B">
        <w:rPr>
          <w:b/>
        </w:rPr>
        <w:t>Provide the citation</w:t>
      </w:r>
      <w:r w:rsidR="009E6B86" w:rsidRPr="0018646B">
        <w:rPr>
          <w:b/>
        </w:rPr>
        <w:t xml:space="preserve"> </w:t>
      </w:r>
      <w:r w:rsidR="006C7F30" w:rsidRPr="0018646B">
        <w:rPr>
          <w:b/>
        </w:rPr>
        <w:t>and summary for each piece of evidence.</w:t>
      </w:r>
    </w:p>
    <w:p w:rsidR="0032556F" w:rsidRPr="0018646B" w:rsidRDefault="0032556F" w:rsidP="002E2177">
      <w:pPr>
        <w:ind w:left="0" w:firstLine="0"/>
        <w:rPr>
          <w:b/>
        </w:rPr>
      </w:pPr>
    </w:p>
    <w:p w:rsidR="0032556F" w:rsidRPr="0018646B" w:rsidRDefault="0032556F" w:rsidP="002E2177">
      <w:pPr>
        <w:ind w:left="0" w:firstLine="0"/>
      </w:pPr>
    </w:p>
    <w:p w:rsidR="0065507B" w:rsidRPr="0018646B" w:rsidRDefault="0065507B" w:rsidP="0065507B">
      <w:pPr>
        <w:ind w:left="0" w:firstLine="0"/>
      </w:pPr>
    </w:p>
    <w:p w:rsidR="0065507B" w:rsidRPr="0018646B" w:rsidRDefault="0065507B" w:rsidP="0065507B">
      <w:pPr>
        <w:ind w:left="0" w:firstLine="0"/>
      </w:pPr>
      <w:r w:rsidRPr="0018646B">
        <w:rPr>
          <w:rStyle w:val="element-citation"/>
          <w:lang w:val="en"/>
        </w:rPr>
        <w:t xml:space="preserve">Centers for Disease Control and Prevention. </w:t>
      </w:r>
      <w:r w:rsidRPr="0018646B">
        <w:rPr>
          <w:rStyle w:val="ref-journal"/>
          <w:b/>
          <w:lang w:val="en"/>
        </w:rPr>
        <w:t>Guidance on Community Viral Load: A Family of Measures, Definitions, and Method for Calculation</w:t>
      </w:r>
      <w:r w:rsidRPr="0018646B">
        <w:rPr>
          <w:rStyle w:val="ref-journal"/>
          <w:lang w:val="en"/>
        </w:rPr>
        <w:t xml:space="preserve">. </w:t>
      </w:r>
      <w:r w:rsidRPr="0018646B">
        <w:rPr>
          <w:rStyle w:val="element-citation"/>
          <w:lang w:val="en"/>
        </w:rPr>
        <w:t xml:space="preserve">2011 </w:t>
      </w:r>
      <w:hyperlink r:id="rId30" w:history="1">
        <w:r w:rsidRPr="0018646B">
          <w:rPr>
            <w:rStyle w:val="Hyperlink"/>
            <w:lang w:val="en"/>
          </w:rPr>
          <w:t>https://stacks.cdc.gov/view/cdc/28147</w:t>
        </w:r>
      </w:hyperlink>
      <w:r w:rsidRPr="0018646B">
        <w:rPr>
          <w:rStyle w:val="element-citation"/>
          <w:lang w:val="en"/>
        </w:rPr>
        <w:t xml:space="preserve"> </w:t>
      </w:r>
      <w:hyperlink r:id="rId31" w:tgtFrame="pmc_ext" w:history="1"/>
      <w:r w:rsidRPr="0018646B">
        <w:rPr>
          <w:lang w:val="en"/>
        </w:rPr>
        <w:t xml:space="preserve"> </w:t>
      </w:r>
    </w:p>
    <w:p w:rsidR="0065507B" w:rsidRPr="0018646B" w:rsidRDefault="0065507B" w:rsidP="0065507B">
      <w:pPr>
        <w:ind w:left="0" w:firstLine="0"/>
      </w:pPr>
    </w:p>
    <w:p w:rsidR="0065507B" w:rsidRPr="0018646B" w:rsidRDefault="0065507B" w:rsidP="0065507B">
      <w:pPr>
        <w:ind w:left="0" w:firstLine="0"/>
      </w:pPr>
      <w:r w:rsidRPr="0018646B">
        <w:t xml:space="preserve">This document proposes a family of viral load measurements, of which one is Community Viral </w:t>
      </w:r>
    </w:p>
    <w:p w:rsidR="0065507B" w:rsidRPr="0018646B" w:rsidRDefault="0065507B" w:rsidP="0065507B">
      <w:pPr>
        <w:ind w:left="0" w:firstLine="0"/>
      </w:pPr>
      <w:r w:rsidRPr="0018646B">
        <w:t>Load; other measures include: Population Viral Load, In-Care Viral Load, and Monitored Viral Load. Technical guidance for estimating Community Viral Load, In-Care Viral Load, and Monitored Viral Load are provided. Analytic methods and tools (spreadsheet and SAS code) for calculating mean viral load, percentage with suppressed viral load (≤200 copies/mL), percentage with undetectable viral load (</w:t>
      </w:r>
    </w:p>
    <w:p w:rsidR="0065507B" w:rsidRPr="0018646B" w:rsidRDefault="0065507B" w:rsidP="0065507B">
      <w:pPr>
        <w:ind w:left="0" w:firstLine="0"/>
      </w:pPr>
      <w:r w:rsidRPr="0018646B">
        <w:t>≤50 copies/mL), and for assessing a statistical difference between two mean viral load measures will be made available by CDC to HIV surveillance coordinators. While this Guidance document is intended primarily for HIV surveillance coordinators to be able to calculate Community Viral Load measures for their jurisdictions, it should be recognized that the ability to do so does not rest solely with the HIV surveillance system.</w:t>
      </w:r>
    </w:p>
    <w:p w:rsidR="00C7742C" w:rsidRPr="0018646B" w:rsidRDefault="00C7742C" w:rsidP="0065507B">
      <w:pPr>
        <w:ind w:left="0" w:firstLine="0"/>
      </w:pPr>
    </w:p>
    <w:p w:rsidR="00C7742C" w:rsidRPr="0018646B" w:rsidRDefault="00C7742C" w:rsidP="00C7742C">
      <w:pPr>
        <w:ind w:left="0" w:firstLine="0"/>
        <w:rPr>
          <w:rStyle w:val="Hyperlink"/>
        </w:rPr>
      </w:pPr>
      <w:r w:rsidRPr="0018646B">
        <w:t xml:space="preserve">For additional information, see also: </w:t>
      </w:r>
      <w:r w:rsidRPr="0018646B">
        <w:rPr>
          <w:b/>
        </w:rPr>
        <w:t>Center for Diseases Control and Prevention [June 2014]; Using viral load data to monitor HIV burden and treatment outcomes in the United States.</w:t>
      </w:r>
      <w:r w:rsidRPr="0018646B">
        <w:t xml:space="preserve">  </w:t>
      </w:r>
      <w:hyperlink r:id="rId32" w:history="1">
        <w:r w:rsidRPr="0018646B">
          <w:rPr>
            <w:rStyle w:val="Hyperlink"/>
          </w:rPr>
          <w:t>http://www.cdc.gov/hiv/pdf/library_factsheet_Using_viral_load_data_feb_2013.pdf</w:t>
        </w:r>
      </w:hyperlink>
      <w:r w:rsidRPr="0018646B">
        <w:t xml:space="preserve">   </w:t>
      </w:r>
      <w:hyperlink r:id="rId33" w:history="1"/>
    </w:p>
    <w:p w:rsidR="00C7742C" w:rsidRPr="0018646B" w:rsidRDefault="00C7742C" w:rsidP="00C7742C">
      <w:pPr>
        <w:ind w:left="0" w:firstLine="0"/>
        <w:rPr>
          <w:rStyle w:val="Hyperlink"/>
        </w:rPr>
      </w:pPr>
    </w:p>
    <w:p w:rsidR="00C7742C" w:rsidRPr="0018646B" w:rsidRDefault="00C7742C" w:rsidP="0065507B">
      <w:pPr>
        <w:ind w:left="0" w:firstLine="0"/>
      </w:pPr>
    </w:p>
    <w:p w:rsidR="0065507B" w:rsidRPr="0018646B" w:rsidRDefault="0065507B" w:rsidP="0065507B">
      <w:pPr>
        <w:ind w:left="0" w:firstLine="0"/>
      </w:pPr>
    </w:p>
    <w:p w:rsidR="0065507B" w:rsidRPr="0018646B" w:rsidRDefault="0065507B" w:rsidP="0065507B">
      <w:pPr>
        <w:ind w:left="0" w:firstLine="0"/>
        <w:rPr>
          <w:rStyle w:val="element-citation"/>
          <w:b/>
          <w:lang w:val="en"/>
        </w:rPr>
      </w:pPr>
      <w:r w:rsidRPr="0018646B">
        <w:rPr>
          <w:rStyle w:val="element-citation"/>
          <w:b/>
          <w:lang w:val="en"/>
        </w:rPr>
        <w:t xml:space="preserve">Montaner JS, Lima VD, Barrios R, et al. </w:t>
      </w:r>
      <w:hyperlink r:id="rId34" w:history="1">
        <w:r w:rsidRPr="0018646B">
          <w:rPr>
            <w:rStyle w:val="Hyperlink"/>
            <w:b/>
            <w:lang w:val="en"/>
          </w:rPr>
          <w:t>Association of highly active antiretroviral therapy coverage, population viral load, and yearly new HIV diagnoses in British Columbia, Canada: a population-based study</w:t>
        </w:r>
      </w:hyperlink>
      <w:r w:rsidRPr="0018646B">
        <w:rPr>
          <w:rStyle w:val="element-citation"/>
          <w:b/>
          <w:lang w:val="en"/>
        </w:rPr>
        <w:t xml:space="preserve">. </w:t>
      </w:r>
      <w:r w:rsidRPr="0018646B">
        <w:rPr>
          <w:rStyle w:val="ref-journal"/>
          <w:b/>
          <w:lang w:val="en"/>
        </w:rPr>
        <w:t xml:space="preserve">Lancet. </w:t>
      </w:r>
      <w:r w:rsidRPr="0018646B">
        <w:rPr>
          <w:rStyle w:val="element-citation"/>
          <w:b/>
          <w:lang w:val="en"/>
        </w:rPr>
        <w:t>2010;</w:t>
      </w:r>
      <w:r w:rsidRPr="0018646B">
        <w:rPr>
          <w:rStyle w:val="ref-vol"/>
          <w:b/>
          <w:lang w:val="en"/>
        </w:rPr>
        <w:t>376</w:t>
      </w:r>
      <w:r w:rsidRPr="0018646B">
        <w:rPr>
          <w:rStyle w:val="element-citation"/>
          <w:b/>
          <w:lang w:val="en"/>
        </w:rPr>
        <w:t xml:space="preserve">(9740):532–539. </w:t>
      </w:r>
      <w:hyperlink r:id="rId35" w:history="1">
        <w:r w:rsidRPr="0018646B">
          <w:rPr>
            <w:rStyle w:val="Hyperlink"/>
            <w:b/>
            <w:lang w:val="en"/>
          </w:rPr>
          <w:t>http://www.ncbi.nlm.nih.gov/pmc/articles/PMC2996043/</w:t>
        </w:r>
      </w:hyperlink>
      <w:r w:rsidRPr="0018646B">
        <w:rPr>
          <w:rStyle w:val="element-citation"/>
          <w:b/>
          <w:lang w:val="en"/>
        </w:rPr>
        <w:t xml:space="preserve"> </w:t>
      </w:r>
    </w:p>
    <w:p w:rsidR="0065507B" w:rsidRPr="0018646B" w:rsidRDefault="0065507B" w:rsidP="0065507B">
      <w:pPr>
        <w:ind w:left="0" w:firstLine="0"/>
        <w:rPr>
          <w:rStyle w:val="element-citation"/>
          <w:lang w:val="en"/>
        </w:rPr>
      </w:pPr>
    </w:p>
    <w:p w:rsidR="0065507B" w:rsidRPr="0018646B" w:rsidRDefault="0065507B" w:rsidP="0065507B">
      <w:pPr>
        <w:ind w:left="0" w:firstLine="0"/>
        <w:rPr>
          <w:rStyle w:val="element-citation"/>
          <w:lang w:val="en"/>
        </w:rPr>
      </w:pPr>
      <w:r w:rsidRPr="0018646B">
        <w:rPr>
          <w:rStyle w:val="element-citation"/>
          <w:b/>
          <w:i/>
          <w:lang w:val="en"/>
        </w:rPr>
        <w:t>Background</w:t>
      </w:r>
      <w:r w:rsidRPr="0018646B">
        <w:rPr>
          <w:rStyle w:val="element-citation"/>
          <w:lang w:val="en"/>
        </w:rPr>
        <w:t>: Cohort studies and mathematical models have suggested that expanded coverage with highly active antiretroviral therapy (HAART) could decrease HIV transmission. This study focuses on the HIV epidemic, stratified by injection drug use, in the province of British Columbia, Canada, and seeks to estimate the association between plasma HIV-1-viral load, HAART coverage and number of new cases of HIV at the population-level.</w:t>
      </w:r>
    </w:p>
    <w:p w:rsidR="0065507B" w:rsidRPr="0018646B" w:rsidRDefault="0065507B" w:rsidP="0065507B">
      <w:pPr>
        <w:ind w:left="0" w:firstLine="0"/>
        <w:rPr>
          <w:rStyle w:val="element-citation"/>
          <w:lang w:val="en"/>
        </w:rPr>
      </w:pPr>
      <w:r w:rsidRPr="0018646B">
        <w:rPr>
          <w:rStyle w:val="element-citation"/>
          <w:b/>
          <w:i/>
          <w:lang w:val="en"/>
        </w:rPr>
        <w:t>Methods:</w:t>
      </w:r>
      <w:r w:rsidRPr="0018646B">
        <w:rPr>
          <w:rStyle w:val="element-citation"/>
          <w:lang w:val="en"/>
        </w:rPr>
        <w:t xml:space="preserve"> HAART use, plasma HIV-1-viral level determinations, and rates of reportable sexually transmitted infections, including HIV, are all recorded in province-wide registries allowing for temporal comparisons of these parameters. Trends of new HIV positive tests and number of individuals on HAART were modeled using generalized additive models. Poisson log-linear regression models were used to estimate the association between the outcome new HIV positive tests (per 100 population) and the covariates viral load (log10 transformed), year, and number of individuals on HAART.</w:t>
      </w:r>
    </w:p>
    <w:p w:rsidR="0065507B" w:rsidRPr="0018646B" w:rsidRDefault="0065507B" w:rsidP="0065507B">
      <w:pPr>
        <w:ind w:left="0" w:firstLine="0"/>
        <w:rPr>
          <w:rStyle w:val="element-citation"/>
          <w:lang w:val="en"/>
        </w:rPr>
      </w:pPr>
      <w:r w:rsidRPr="0018646B">
        <w:rPr>
          <w:rStyle w:val="element-citation"/>
          <w:b/>
          <w:i/>
          <w:lang w:val="en"/>
        </w:rPr>
        <w:t>Conclusions</w:t>
      </w:r>
      <w:r w:rsidRPr="0018646B">
        <w:rPr>
          <w:rStyle w:val="element-citation"/>
          <w:lang w:val="en"/>
        </w:rPr>
        <w:t xml:space="preserve">: </w:t>
      </w:r>
      <w:r w:rsidRPr="0018646B">
        <w:rPr>
          <w:rStyle w:val="element-citation"/>
          <w:b/>
          <w:lang w:val="en"/>
        </w:rPr>
        <w:t>Our results demonstrate a strong association at the population-level between increasing levels of HAART coverage, decreased viral load and decreased new HIV diagnoses/year, against a background of increased HIV testing and increased rates of other STIs in the province.</w:t>
      </w:r>
      <w:r w:rsidRPr="0018646B">
        <w:rPr>
          <w:rStyle w:val="element-citation"/>
          <w:lang w:val="en"/>
        </w:rPr>
        <w:t xml:space="preserve"> Our results support the proposed secondary benefit of HAART, used within current medical guidelines, on HIV transmission at a population level.</w:t>
      </w:r>
    </w:p>
    <w:p w:rsidR="0065507B" w:rsidRPr="0018646B" w:rsidRDefault="0065507B" w:rsidP="0065507B">
      <w:pPr>
        <w:ind w:left="0" w:firstLine="0"/>
      </w:pPr>
    </w:p>
    <w:p w:rsidR="0065507B" w:rsidRPr="0018646B" w:rsidRDefault="0065507B" w:rsidP="0065507B">
      <w:pPr>
        <w:ind w:left="0" w:firstLine="0"/>
      </w:pPr>
    </w:p>
    <w:p w:rsidR="0065507B" w:rsidRPr="0018646B" w:rsidRDefault="0065507B" w:rsidP="0065507B">
      <w:pPr>
        <w:ind w:left="0" w:firstLine="0"/>
        <w:rPr>
          <w:b/>
        </w:rPr>
      </w:pPr>
      <w:r w:rsidRPr="0018646B">
        <w:rPr>
          <w:b/>
        </w:rPr>
        <w:t xml:space="preserve">Montaner JS, Lima VD, Harrigan PR, Lourenço L, Yip B, Nosyk B, Wood E, Kerr T, Shannon K, Moore D, Hogg RS, Barrios R, Gilbert M, Krajden M, Gustafson R, Daly P, Kendall P. Expansion of HAART coverage is associated with sustained decreases in HIV/AIDS morbidity, mortality and HIV transmission: the "HIV Treatment as Prevention" experience in a Canadian setting. PLoS One. 2014 Feb 12;9(2):e87872. doi: 10.1371/journal.pone.0087872. eCollection 2014. Available at </w:t>
      </w:r>
      <w:hyperlink r:id="rId36" w:history="1">
        <w:r w:rsidRPr="0018646B">
          <w:rPr>
            <w:rStyle w:val="Hyperlink"/>
            <w:b/>
          </w:rPr>
          <w:t>http://www.ncbi.nlm.nih.gov/pmc/articles/PMC3922718/</w:t>
        </w:r>
      </w:hyperlink>
      <w:r w:rsidRPr="0018646B">
        <w:rPr>
          <w:b/>
        </w:rPr>
        <w:t xml:space="preserve"> </w:t>
      </w:r>
    </w:p>
    <w:p w:rsidR="0065507B" w:rsidRPr="0018646B" w:rsidRDefault="0065507B" w:rsidP="0065507B">
      <w:pPr>
        <w:ind w:left="0" w:firstLine="0"/>
        <w:rPr>
          <w:b/>
        </w:rPr>
      </w:pPr>
    </w:p>
    <w:p w:rsidR="0065507B" w:rsidRPr="0018646B" w:rsidRDefault="0065507B" w:rsidP="0065507B">
      <w:pPr>
        <w:ind w:left="0" w:firstLine="0"/>
      </w:pPr>
      <w:r w:rsidRPr="0018646B">
        <w:t>BACKGROUND: There has been renewed call for the global expansion of highly active antiretroviral therapy (HAART) under the framework of HIV treatment as prevention (TasP). However, population-level sustainability of this strategy has not been characterized.</w:t>
      </w:r>
    </w:p>
    <w:p w:rsidR="0065507B" w:rsidRPr="0018646B" w:rsidRDefault="0065507B" w:rsidP="0065507B">
      <w:pPr>
        <w:ind w:left="0" w:firstLine="0"/>
      </w:pPr>
      <w:r w:rsidRPr="0018646B">
        <w:t>METHODS: We used population-level longitudinal data from province-wide registries including plasma viral load, CD4 count, drug resistance, HAART use, HIV diagnoses, AIDS incidence, and HIV-related mortality. We fitted two Poisson regression models over the study period, to relate estimated HIV incidence and the number of individuals on HAART and the percentage of virologically suppressed individuals.</w:t>
      </w:r>
    </w:p>
    <w:p w:rsidR="0065507B" w:rsidRPr="0018646B" w:rsidRDefault="0065507B" w:rsidP="0065507B">
      <w:pPr>
        <w:ind w:left="0" w:firstLine="0"/>
      </w:pPr>
      <w:r w:rsidRPr="0018646B">
        <w:t>RESULTS: HAART coverage, median pre-HAART CD4 count, and HAART adherence increased over time and were associated with increasing virological suppression and decreasing drug resistance. AIDS incidence decreased from 6.9 to 1.4 per 100,000 population (80% decrease, p = 0.0330) and HIV-related mortality decreased from 6.5 to 1.3 per 100,000 population (80% decrease, p = 0.0115). New HIV diagnoses declined from 702 to 238 cases (66% decrease; p = 0.0004) with a consequent estimated decline in HIV incident cases from 632 to 368 cases per year (42% decrease; p = 0.0003). Finally, our models suggested that for each increase of 100 individuals on HAART, the estimated HIV incidence decreased 1.2% and for every 1% increase in the number of individuals suppressed on HAART, the estimated HIV incidence also decreased by 1%.</w:t>
      </w:r>
    </w:p>
    <w:p w:rsidR="0065507B" w:rsidRPr="0018646B" w:rsidRDefault="0065507B" w:rsidP="0065507B">
      <w:pPr>
        <w:ind w:left="0" w:firstLine="0"/>
      </w:pPr>
      <w:r w:rsidRPr="0018646B">
        <w:rPr>
          <w:b/>
        </w:rPr>
        <w:t>CONCLUSIONS: Our results show that HAART expansion between 1996 and 2012 in BC was associated with a sustained and profound population-level decrease in morbidity, mortality and HIV transmission.</w:t>
      </w:r>
      <w:r w:rsidRPr="0018646B">
        <w:t xml:space="preserve"> Our findings support the long-term effectiveness and sustainability of HIV treatment as prevention within an adequately resourced environment with no financial barriers to diagnosis, medical care or antiretroviral drugs. The 2013 Consolidated World Health Organization Antiretroviral Therapy Guidelines offer a unique opportunity to further evaluate TasP in other settings, particularly within generalized epidemics, and resource-limited setting, as advocated by UNAIDS.</w:t>
      </w:r>
    </w:p>
    <w:p w:rsidR="0065507B" w:rsidRPr="0018646B" w:rsidRDefault="0065507B" w:rsidP="0065507B"/>
    <w:p w:rsidR="000004C8" w:rsidRPr="0018646B" w:rsidRDefault="008D348D" w:rsidP="000B2690">
      <w:pPr>
        <w:shd w:val="clear" w:color="auto" w:fill="FFFFFF"/>
        <w:ind w:left="0" w:firstLine="0"/>
        <w:rPr>
          <w:rFonts w:cs="Arial"/>
        </w:rPr>
      </w:pPr>
      <w:hyperlink r:id="rId37" w:history="1">
        <w:r w:rsidR="000004C8" w:rsidRPr="0018646B">
          <w:rPr>
            <w:rFonts w:cs="Arial"/>
            <w:b/>
            <w:color w:val="2F4A8B"/>
            <w:u w:val="single"/>
          </w:rPr>
          <w:t>Golden MR</w:t>
        </w:r>
      </w:hyperlink>
      <w:r w:rsidR="000004C8" w:rsidRPr="0018646B">
        <w:rPr>
          <w:rFonts w:cs="Arial"/>
          <w:b/>
        </w:rPr>
        <w:t xml:space="preserve">, </w:t>
      </w:r>
      <w:hyperlink r:id="rId38" w:history="1">
        <w:r w:rsidR="000004C8" w:rsidRPr="0018646B">
          <w:rPr>
            <w:rFonts w:cs="Arial"/>
            <w:b/>
            <w:color w:val="2F4A8B"/>
            <w:u w:val="single"/>
          </w:rPr>
          <w:t>Bennett AB</w:t>
        </w:r>
      </w:hyperlink>
      <w:r w:rsidR="000004C8" w:rsidRPr="0018646B">
        <w:rPr>
          <w:rFonts w:cs="Arial"/>
          <w:b/>
        </w:rPr>
        <w:t xml:space="preserve">, </w:t>
      </w:r>
      <w:hyperlink r:id="rId39" w:history="1">
        <w:r w:rsidR="000004C8" w:rsidRPr="0018646B">
          <w:rPr>
            <w:rFonts w:cs="Arial"/>
            <w:b/>
            <w:color w:val="2F4A8B"/>
            <w:u w:val="single"/>
          </w:rPr>
          <w:t>Dombrowski JC</w:t>
        </w:r>
      </w:hyperlink>
      <w:r w:rsidR="000004C8" w:rsidRPr="0018646B">
        <w:rPr>
          <w:rFonts w:cs="Arial"/>
          <w:b/>
        </w:rPr>
        <w:t xml:space="preserve">, </w:t>
      </w:r>
      <w:hyperlink r:id="rId40" w:history="1">
        <w:r w:rsidR="000004C8" w:rsidRPr="0018646B">
          <w:rPr>
            <w:rFonts w:cs="Arial"/>
            <w:b/>
            <w:color w:val="2F4A8B"/>
            <w:u w:val="single"/>
          </w:rPr>
          <w:t>Buskin SE</w:t>
        </w:r>
      </w:hyperlink>
      <w:r w:rsidR="000004C8" w:rsidRPr="0018646B">
        <w:rPr>
          <w:rFonts w:cs="Arial"/>
        </w:rPr>
        <w:t xml:space="preserve">. </w:t>
      </w:r>
      <w:r w:rsidR="000004C8" w:rsidRPr="0018646B">
        <w:rPr>
          <w:rFonts w:cs="Arial"/>
          <w:b/>
        </w:rPr>
        <w:t xml:space="preserve">Achieving the Goals of the National HIV/AIDS Strategy: Declining HIV Diagnoses, Improving Clinical Outcomes, and Diminishing Racial/Ethnic Disparities in King County, WA (2004-2013). </w:t>
      </w:r>
      <w:hyperlink r:id="rId41" w:tooltip="Sexually transmitted diseases." w:history="1">
        <w:r w:rsidR="000004C8" w:rsidRPr="0018646B">
          <w:rPr>
            <w:rFonts w:cs="Arial"/>
            <w:color w:val="2F4A8B"/>
            <w:u w:val="single"/>
          </w:rPr>
          <w:t>Sex Transm Dis.</w:t>
        </w:r>
      </w:hyperlink>
      <w:r w:rsidR="000004C8" w:rsidRPr="0018646B">
        <w:rPr>
          <w:rFonts w:cs="Arial"/>
        </w:rPr>
        <w:t xml:space="preserve"> 2016; 43 (5): 269-76</w:t>
      </w:r>
    </w:p>
    <w:p w:rsidR="000004C8" w:rsidRPr="0018646B" w:rsidRDefault="000004C8" w:rsidP="000004C8">
      <w:pPr>
        <w:pStyle w:val="Heading4"/>
        <w:shd w:val="clear" w:color="auto" w:fill="FFFFFF"/>
        <w:rPr>
          <w:rFonts w:asciiTheme="minorHAnsi" w:hAnsiTheme="minorHAnsi" w:cs="Arial"/>
        </w:rPr>
      </w:pPr>
      <w:r w:rsidRPr="0018646B">
        <w:rPr>
          <w:rFonts w:asciiTheme="minorHAnsi" w:hAnsiTheme="minorHAnsi" w:cs="Arial"/>
        </w:rPr>
        <w:t xml:space="preserve">BACKGROUND: </w:t>
      </w:r>
    </w:p>
    <w:p w:rsidR="000004C8" w:rsidRPr="0018646B" w:rsidRDefault="000004C8" w:rsidP="000B2690">
      <w:pPr>
        <w:pStyle w:val="NormalWeb"/>
        <w:shd w:val="clear" w:color="auto" w:fill="FFFFFF"/>
        <w:rPr>
          <w:rFonts w:asciiTheme="minorHAnsi" w:hAnsiTheme="minorHAnsi" w:cs="Arial"/>
          <w:sz w:val="22"/>
          <w:szCs w:val="22"/>
        </w:rPr>
      </w:pPr>
      <w:r w:rsidRPr="0018646B">
        <w:rPr>
          <w:rFonts w:asciiTheme="minorHAnsi" w:hAnsiTheme="minorHAnsi" w:cs="Arial"/>
          <w:sz w:val="22"/>
          <w:szCs w:val="22"/>
        </w:rPr>
        <w:t xml:space="preserve">The US National </w:t>
      </w:r>
      <w:r w:rsidRPr="0018646B">
        <w:rPr>
          <w:rStyle w:val="highlight2"/>
          <w:rFonts w:asciiTheme="minorHAnsi" w:hAnsiTheme="minorHAnsi" w:cs="Arial"/>
          <w:sz w:val="22"/>
          <w:szCs w:val="22"/>
        </w:rPr>
        <w:t>HIV</w:t>
      </w:r>
      <w:r w:rsidRPr="0018646B">
        <w:rPr>
          <w:rFonts w:asciiTheme="minorHAnsi" w:hAnsiTheme="minorHAnsi" w:cs="Arial"/>
          <w:sz w:val="22"/>
          <w:szCs w:val="22"/>
        </w:rPr>
        <w:t xml:space="preserve">/AIDS Strategy defines national objectives related to </w:t>
      </w:r>
      <w:r w:rsidRPr="0018646B">
        <w:rPr>
          <w:rStyle w:val="highlight2"/>
          <w:rFonts w:asciiTheme="minorHAnsi" w:hAnsiTheme="minorHAnsi" w:cs="Arial"/>
          <w:sz w:val="22"/>
          <w:szCs w:val="22"/>
        </w:rPr>
        <w:t>HIV</w:t>
      </w:r>
      <w:r w:rsidRPr="0018646B">
        <w:rPr>
          <w:rFonts w:asciiTheme="minorHAnsi" w:hAnsiTheme="minorHAnsi" w:cs="Arial"/>
          <w:sz w:val="22"/>
          <w:szCs w:val="22"/>
        </w:rPr>
        <w:t xml:space="preserve"> prevention and care. The extent to which US cities are meeting those objectives is uncertain.</w:t>
      </w:r>
    </w:p>
    <w:p w:rsidR="000004C8" w:rsidRPr="0018646B" w:rsidRDefault="000004C8" w:rsidP="000B2690">
      <w:pPr>
        <w:pStyle w:val="NormalWeb"/>
        <w:shd w:val="clear" w:color="auto" w:fill="FFFFFF"/>
        <w:rPr>
          <w:rFonts w:asciiTheme="minorHAnsi" w:hAnsiTheme="minorHAnsi" w:cs="Arial"/>
          <w:sz w:val="22"/>
          <w:szCs w:val="22"/>
        </w:rPr>
      </w:pPr>
      <w:r w:rsidRPr="0018646B">
        <w:rPr>
          <w:rFonts w:asciiTheme="minorHAnsi" w:hAnsiTheme="minorHAnsi" w:cs="Arial"/>
          <w:sz w:val="22"/>
          <w:szCs w:val="22"/>
        </w:rPr>
        <w:t xml:space="preserve">METHODS: </w:t>
      </w:r>
    </w:p>
    <w:p w:rsidR="000004C8" w:rsidRPr="0018646B" w:rsidRDefault="000004C8" w:rsidP="000004C8">
      <w:pPr>
        <w:pStyle w:val="NormalWeb"/>
        <w:shd w:val="clear" w:color="auto" w:fill="FFFFFF"/>
        <w:rPr>
          <w:rFonts w:asciiTheme="minorHAnsi" w:hAnsiTheme="minorHAnsi" w:cs="Arial"/>
          <w:sz w:val="22"/>
          <w:szCs w:val="22"/>
        </w:rPr>
      </w:pPr>
      <w:r w:rsidRPr="0018646B">
        <w:rPr>
          <w:rFonts w:asciiTheme="minorHAnsi" w:hAnsiTheme="minorHAnsi" w:cs="Arial"/>
          <w:sz w:val="22"/>
          <w:szCs w:val="22"/>
        </w:rPr>
        <w:t xml:space="preserve">We analyzed King County, WA, </w:t>
      </w:r>
      <w:r w:rsidRPr="0018646B">
        <w:rPr>
          <w:rStyle w:val="highlight2"/>
          <w:rFonts w:asciiTheme="minorHAnsi" w:hAnsiTheme="minorHAnsi" w:cs="Arial"/>
          <w:sz w:val="22"/>
          <w:szCs w:val="22"/>
        </w:rPr>
        <w:t>HIV</w:t>
      </w:r>
      <w:r w:rsidRPr="0018646B">
        <w:rPr>
          <w:rFonts w:asciiTheme="minorHAnsi" w:hAnsiTheme="minorHAnsi" w:cs="Arial"/>
          <w:sz w:val="22"/>
          <w:szCs w:val="22"/>
        </w:rPr>
        <w:t xml:space="preserve"> surveillance data collected between 2004 and 2013. The study </w:t>
      </w:r>
      <w:r w:rsidRPr="0018646B">
        <w:rPr>
          <w:rStyle w:val="highlight2"/>
          <w:rFonts w:asciiTheme="minorHAnsi" w:hAnsiTheme="minorHAnsi" w:cs="Arial"/>
          <w:sz w:val="22"/>
          <w:szCs w:val="22"/>
        </w:rPr>
        <w:t>population</w:t>
      </w:r>
      <w:r w:rsidRPr="0018646B">
        <w:rPr>
          <w:rFonts w:asciiTheme="minorHAnsi" w:hAnsiTheme="minorHAnsi" w:cs="Arial"/>
          <w:sz w:val="22"/>
          <w:szCs w:val="22"/>
        </w:rPr>
        <w:t xml:space="preserve"> included 9539 persons diagnosed as having and living with </w:t>
      </w:r>
      <w:r w:rsidRPr="0018646B">
        <w:rPr>
          <w:rStyle w:val="highlight2"/>
          <w:rFonts w:asciiTheme="minorHAnsi" w:hAnsiTheme="minorHAnsi" w:cs="Arial"/>
          <w:sz w:val="22"/>
          <w:szCs w:val="22"/>
        </w:rPr>
        <w:t>HIV</w:t>
      </w:r>
      <w:r w:rsidRPr="0018646B">
        <w:rPr>
          <w:rFonts w:asciiTheme="minorHAnsi" w:hAnsiTheme="minorHAnsi" w:cs="Arial"/>
          <w:sz w:val="22"/>
          <w:szCs w:val="22"/>
        </w:rPr>
        <w:t xml:space="preserve"> infection and 3779 persons with newly diagnosed </w:t>
      </w:r>
      <w:r w:rsidRPr="0018646B">
        <w:rPr>
          <w:rStyle w:val="highlight2"/>
          <w:rFonts w:asciiTheme="minorHAnsi" w:hAnsiTheme="minorHAnsi" w:cs="Arial"/>
          <w:sz w:val="22"/>
          <w:szCs w:val="22"/>
        </w:rPr>
        <w:t>HIV</w:t>
      </w:r>
      <w:r w:rsidRPr="0018646B">
        <w:rPr>
          <w:rFonts w:asciiTheme="minorHAnsi" w:hAnsiTheme="minorHAnsi" w:cs="Arial"/>
          <w:sz w:val="22"/>
          <w:szCs w:val="22"/>
        </w:rPr>
        <w:t xml:space="preserve"> infection.</w:t>
      </w:r>
    </w:p>
    <w:p w:rsidR="000004C8" w:rsidRPr="0018646B" w:rsidRDefault="000004C8" w:rsidP="000004C8">
      <w:pPr>
        <w:pStyle w:val="Heading4"/>
        <w:shd w:val="clear" w:color="auto" w:fill="FFFFFF"/>
        <w:rPr>
          <w:rFonts w:asciiTheme="minorHAnsi" w:hAnsiTheme="minorHAnsi" w:cs="Arial"/>
        </w:rPr>
      </w:pPr>
      <w:r w:rsidRPr="0018646B">
        <w:rPr>
          <w:rFonts w:asciiTheme="minorHAnsi" w:hAnsiTheme="minorHAnsi" w:cs="Arial"/>
        </w:rPr>
        <w:t xml:space="preserve">RESULTS: </w:t>
      </w:r>
    </w:p>
    <w:p w:rsidR="000004C8" w:rsidRPr="0018646B" w:rsidRDefault="000004C8" w:rsidP="000004C8">
      <w:pPr>
        <w:pStyle w:val="NormalWeb"/>
        <w:shd w:val="clear" w:color="auto" w:fill="FFFFFF"/>
        <w:rPr>
          <w:rFonts w:asciiTheme="minorHAnsi" w:hAnsiTheme="minorHAnsi" w:cs="Arial"/>
          <w:sz w:val="22"/>
          <w:szCs w:val="22"/>
        </w:rPr>
      </w:pPr>
      <w:r w:rsidRPr="0018646B">
        <w:rPr>
          <w:rFonts w:asciiTheme="minorHAnsi" w:hAnsiTheme="minorHAnsi" w:cs="Arial"/>
          <w:sz w:val="22"/>
          <w:szCs w:val="22"/>
        </w:rPr>
        <w:t xml:space="preserve">Between 2004 and 2013, the rate of new </w:t>
      </w:r>
      <w:r w:rsidRPr="0018646B">
        <w:rPr>
          <w:rStyle w:val="highlight2"/>
          <w:rFonts w:asciiTheme="minorHAnsi" w:hAnsiTheme="minorHAnsi" w:cs="Arial"/>
          <w:sz w:val="22"/>
          <w:szCs w:val="22"/>
        </w:rPr>
        <w:t>HIV</w:t>
      </w:r>
      <w:r w:rsidRPr="0018646B">
        <w:rPr>
          <w:rFonts w:asciiTheme="minorHAnsi" w:hAnsiTheme="minorHAnsi" w:cs="Arial"/>
          <w:sz w:val="22"/>
          <w:szCs w:val="22"/>
        </w:rPr>
        <w:t xml:space="preserve"> diagnosis decreased from 18.4 to 13.2 per 100,000 residents (decline of 28%); AIDS diagnosis rates declined 42% from 12 to 7 per 100,000; and age-adjusted death rates decreased from 27 to 15 per 1000 persons living with </w:t>
      </w:r>
      <w:r w:rsidRPr="0018646B">
        <w:rPr>
          <w:rStyle w:val="highlight2"/>
          <w:rFonts w:asciiTheme="minorHAnsi" w:hAnsiTheme="minorHAnsi" w:cs="Arial"/>
          <w:sz w:val="22"/>
          <w:szCs w:val="22"/>
        </w:rPr>
        <w:t>HIV</w:t>
      </w:r>
      <w:r w:rsidRPr="0018646B">
        <w:rPr>
          <w:rFonts w:asciiTheme="minorHAnsi" w:hAnsiTheme="minorHAnsi" w:cs="Arial"/>
          <w:sz w:val="22"/>
          <w:szCs w:val="22"/>
        </w:rPr>
        <w:t xml:space="preserve">/AIDS (decline of 42%; P &lt; 0.0001 for all 3 trends). The rate of new </w:t>
      </w:r>
      <w:r w:rsidRPr="0018646B">
        <w:rPr>
          <w:rStyle w:val="highlight2"/>
          <w:rFonts w:asciiTheme="minorHAnsi" w:hAnsiTheme="minorHAnsi" w:cs="Arial"/>
          <w:sz w:val="22"/>
          <w:szCs w:val="22"/>
        </w:rPr>
        <w:t>HIV</w:t>
      </w:r>
      <w:r w:rsidRPr="0018646B">
        <w:rPr>
          <w:rFonts w:asciiTheme="minorHAnsi" w:hAnsiTheme="minorHAnsi" w:cs="Arial"/>
          <w:sz w:val="22"/>
          <w:szCs w:val="22"/>
        </w:rPr>
        <w:t xml:space="preserve"> diagnosis declined 26% among men who have sex with men (MSM; P = 0.0002), with the largest decline occurring in black MSM (44%). Among 8679 individuals with laboratory results reported to National </w:t>
      </w:r>
      <w:r w:rsidRPr="0018646B">
        <w:rPr>
          <w:rStyle w:val="highlight2"/>
          <w:rFonts w:asciiTheme="minorHAnsi" w:hAnsiTheme="minorHAnsi" w:cs="Arial"/>
          <w:sz w:val="22"/>
          <w:szCs w:val="22"/>
        </w:rPr>
        <w:t>HIV</w:t>
      </w:r>
      <w:r w:rsidRPr="0018646B">
        <w:rPr>
          <w:rFonts w:asciiTheme="minorHAnsi" w:hAnsiTheme="minorHAnsi" w:cs="Arial"/>
          <w:sz w:val="22"/>
          <w:szCs w:val="22"/>
        </w:rPr>
        <w:t xml:space="preserve"> Surveillance System from 2006 through 2013, </w:t>
      </w:r>
      <w:r w:rsidRPr="0018646B">
        <w:rPr>
          <w:rStyle w:val="highlight2"/>
          <w:rFonts w:asciiTheme="minorHAnsi" w:hAnsiTheme="minorHAnsi" w:cs="Arial"/>
          <w:sz w:val="22"/>
          <w:szCs w:val="22"/>
        </w:rPr>
        <w:t>viral</w:t>
      </w:r>
      <w:r w:rsidRPr="0018646B">
        <w:rPr>
          <w:rFonts w:asciiTheme="minorHAnsi" w:hAnsiTheme="minorHAnsi" w:cs="Arial"/>
          <w:sz w:val="22"/>
          <w:szCs w:val="22"/>
        </w:rPr>
        <w:t xml:space="preserve"> suppression (</w:t>
      </w:r>
      <w:r w:rsidRPr="0018646B">
        <w:rPr>
          <w:rStyle w:val="highlight2"/>
          <w:rFonts w:asciiTheme="minorHAnsi" w:hAnsiTheme="minorHAnsi" w:cs="Arial"/>
          <w:sz w:val="22"/>
          <w:szCs w:val="22"/>
        </w:rPr>
        <w:t>viral load</w:t>
      </w:r>
      <w:r w:rsidRPr="0018646B">
        <w:rPr>
          <w:rFonts w:asciiTheme="minorHAnsi" w:hAnsiTheme="minorHAnsi" w:cs="Arial"/>
          <w:sz w:val="22"/>
          <w:szCs w:val="22"/>
        </w:rPr>
        <w:t xml:space="preserve"> &lt;200 copies/mL) increased from 45% to 86% (P &lt; 0.0001), with all racial/ethnic </w:t>
      </w:r>
      <w:r w:rsidRPr="0018646B">
        <w:rPr>
          <w:rStyle w:val="highlight2"/>
          <w:rFonts w:asciiTheme="minorHAnsi" w:hAnsiTheme="minorHAnsi" w:cs="Arial"/>
          <w:sz w:val="22"/>
          <w:szCs w:val="22"/>
        </w:rPr>
        <w:t>groups</w:t>
      </w:r>
      <w:r w:rsidRPr="0018646B">
        <w:rPr>
          <w:rFonts w:asciiTheme="minorHAnsi" w:hAnsiTheme="minorHAnsi" w:cs="Arial"/>
          <w:sz w:val="22"/>
          <w:szCs w:val="22"/>
        </w:rPr>
        <w:t xml:space="preserve"> achieving greater than 80% </w:t>
      </w:r>
      <w:r w:rsidRPr="0018646B">
        <w:rPr>
          <w:rStyle w:val="highlight2"/>
          <w:rFonts w:asciiTheme="minorHAnsi" w:hAnsiTheme="minorHAnsi" w:cs="Arial"/>
          <w:sz w:val="22"/>
          <w:szCs w:val="22"/>
        </w:rPr>
        <w:t>viral</w:t>
      </w:r>
      <w:r w:rsidRPr="0018646B">
        <w:rPr>
          <w:rFonts w:asciiTheme="minorHAnsi" w:hAnsiTheme="minorHAnsi" w:cs="Arial"/>
          <w:sz w:val="22"/>
          <w:szCs w:val="22"/>
        </w:rPr>
        <w:t xml:space="preserve"> suppression in 2013.</w:t>
      </w:r>
    </w:p>
    <w:p w:rsidR="000004C8" w:rsidRPr="0018646B" w:rsidRDefault="000004C8" w:rsidP="000004C8">
      <w:pPr>
        <w:pStyle w:val="Heading4"/>
        <w:shd w:val="clear" w:color="auto" w:fill="FFFFFF"/>
        <w:rPr>
          <w:rFonts w:asciiTheme="minorHAnsi" w:hAnsiTheme="minorHAnsi" w:cs="Arial"/>
        </w:rPr>
      </w:pPr>
      <w:r w:rsidRPr="0018646B">
        <w:rPr>
          <w:rFonts w:asciiTheme="minorHAnsi" w:hAnsiTheme="minorHAnsi" w:cs="Arial"/>
        </w:rPr>
        <w:t xml:space="preserve">INTERPRETATION: </w:t>
      </w:r>
    </w:p>
    <w:p w:rsidR="000004C8" w:rsidRPr="0018646B" w:rsidRDefault="000004C8" w:rsidP="000004C8">
      <w:pPr>
        <w:pStyle w:val="NormalWeb"/>
        <w:shd w:val="clear" w:color="auto" w:fill="FFFFFF"/>
        <w:rPr>
          <w:rFonts w:asciiTheme="minorHAnsi" w:hAnsiTheme="minorHAnsi" w:cs="Arial"/>
          <w:sz w:val="22"/>
          <w:szCs w:val="22"/>
        </w:rPr>
      </w:pPr>
      <w:r w:rsidRPr="0018646B">
        <w:rPr>
          <w:rFonts w:asciiTheme="minorHAnsi" w:hAnsiTheme="minorHAnsi" w:cs="Arial"/>
          <w:b/>
          <w:sz w:val="22"/>
          <w:szCs w:val="22"/>
        </w:rPr>
        <w:t xml:space="preserve">The rates of new </w:t>
      </w:r>
      <w:r w:rsidRPr="0018646B">
        <w:rPr>
          <w:rStyle w:val="highlight2"/>
          <w:rFonts w:asciiTheme="minorHAnsi" w:hAnsiTheme="minorHAnsi" w:cs="Arial"/>
          <w:b/>
          <w:sz w:val="22"/>
          <w:szCs w:val="22"/>
        </w:rPr>
        <w:t>HIV</w:t>
      </w:r>
      <w:r w:rsidRPr="0018646B">
        <w:rPr>
          <w:rFonts w:asciiTheme="minorHAnsi" w:hAnsiTheme="minorHAnsi" w:cs="Arial"/>
          <w:b/>
          <w:sz w:val="22"/>
          <w:szCs w:val="22"/>
        </w:rPr>
        <w:t xml:space="preserve"> diagnosis, AIDS diagnoses, and mortality in persons living with </w:t>
      </w:r>
      <w:r w:rsidRPr="0018646B">
        <w:rPr>
          <w:rStyle w:val="highlight2"/>
          <w:rFonts w:asciiTheme="minorHAnsi" w:hAnsiTheme="minorHAnsi" w:cs="Arial"/>
          <w:b/>
          <w:sz w:val="22"/>
          <w:szCs w:val="22"/>
        </w:rPr>
        <w:t>HIV</w:t>
      </w:r>
      <w:r w:rsidRPr="0018646B">
        <w:rPr>
          <w:rFonts w:asciiTheme="minorHAnsi" w:hAnsiTheme="minorHAnsi" w:cs="Arial"/>
          <w:b/>
          <w:sz w:val="22"/>
          <w:szCs w:val="22"/>
        </w:rPr>
        <w:t xml:space="preserve"> in King County, WA, have significantly declined over the last decade. These changes have occurred concurrent with a dramatic increase in </w:t>
      </w:r>
      <w:r w:rsidRPr="0018646B">
        <w:rPr>
          <w:rStyle w:val="highlight2"/>
          <w:rFonts w:asciiTheme="minorHAnsi" w:hAnsiTheme="minorHAnsi" w:cs="Arial"/>
          <w:b/>
          <w:sz w:val="22"/>
          <w:szCs w:val="22"/>
        </w:rPr>
        <w:t>HIV</w:t>
      </w:r>
      <w:r w:rsidRPr="0018646B">
        <w:rPr>
          <w:rFonts w:asciiTheme="minorHAnsi" w:hAnsiTheme="minorHAnsi" w:cs="Arial"/>
          <w:b/>
          <w:sz w:val="22"/>
          <w:szCs w:val="22"/>
        </w:rPr>
        <w:t xml:space="preserve"> </w:t>
      </w:r>
      <w:r w:rsidRPr="0018646B">
        <w:rPr>
          <w:rStyle w:val="highlight2"/>
          <w:rFonts w:asciiTheme="minorHAnsi" w:hAnsiTheme="minorHAnsi" w:cs="Arial"/>
          <w:b/>
          <w:sz w:val="22"/>
          <w:szCs w:val="22"/>
        </w:rPr>
        <w:t>viral</w:t>
      </w:r>
      <w:r w:rsidRPr="0018646B">
        <w:rPr>
          <w:rFonts w:asciiTheme="minorHAnsi" w:hAnsiTheme="minorHAnsi" w:cs="Arial"/>
          <w:b/>
          <w:sz w:val="22"/>
          <w:szCs w:val="22"/>
        </w:rPr>
        <w:t xml:space="preserve"> suppression and have affected diverse populations, including MSM and African American MSM</w:t>
      </w:r>
      <w:r w:rsidRPr="0018646B">
        <w:rPr>
          <w:rFonts w:asciiTheme="minorHAnsi" w:hAnsiTheme="minorHAnsi" w:cs="Arial"/>
          <w:sz w:val="22"/>
          <w:szCs w:val="22"/>
        </w:rPr>
        <w:t xml:space="preserve">. These findings demonstrate substantial local success in achieving the goals of the National </w:t>
      </w:r>
      <w:r w:rsidRPr="0018646B">
        <w:rPr>
          <w:rStyle w:val="highlight2"/>
          <w:rFonts w:asciiTheme="minorHAnsi" w:hAnsiTheme="minorHAnsi" w:cs="Arial"/>
          <w:sz w:val="22"/>
          <w:szCs w:val="22"/>
        </w:rPr>
        <w:t>HIV</w:t>
      </w:r>
      <w:r w:rsidRPr="0018646B">
        <w:rPr>
          <w:rFonts w:asciiTheme="minorHAnsi" w:hAnsiTheme="minorHAnsi" w:cs="Arial"/>
          <w:sz w:val="22"/>
          <w:szCs w:val="22"/>
        </w:rPr>
        <w:t>/AIDS Strategy</w:t>
      </w:r>
    </w:p>
    <w:p w:rsidR="000004C8" w:rsidRPr="0018646B" w:rsidRDefault="000004C8" w:rsidP="0065507B">
      <w:pPr>
        <w:ind w:left="0" w:firstLine="0"/>
        <w:rPr>
          <w:b/>
        </w:rPr>
      </w:pPr>
    </w:p>
    <w:p w:rsidR="0065507B" w:rsidRPr="0018646B" w:rsidRDefault="0065507B" w:rsidP="0065507B">
      <w:pPr>
        <w:ind w:left="0" w:firstLine="0"/>
        <w:rPr>
          <w:b/>
        </w:rPr>
      </w:pPr>
      <w:r w:rsidRPr="0018646B">
        <w:rPr>
          <w:b/>
        </w:rPr>
        <w:t>Das M, et al. Decreases in community viral load are accompanied by reductions in new HIV infections in San Francisco</w:t>
      </w:r>
      <w:r w:rsidRPr="0018646B">
        <w:t>. PLoS ONE 2010;5(6):e11068.</w:t>
      </w:r>
    </w:p>
    <w:p w:rsidR="0065507B" w:rsidRPr="0018646B" w:rsidRDefault="0065507B" w:rsidP="0065507B">
      <w:pPr>
        <w:ind w:left="0" w:firstLine="0"/>
      </w:pPr>
      <w:r w:rsidRPr="0018646B">
        <w:t>At the individual level, higher HIV viral load predicts sexual transmission risk. We evaluated San Francisco's community viral load (CVL) as a population level marker of HIV transmission risk. We hypothesized that the decrease in CVL in San Francisco from 2004-2008, corresponding with increased rates of HIV testing, antiretroviral therapy (ART) coverage and effectiveness, and population-level virologic suppression, would be associated with a reduction in new HIV infections.</w:t>
      </w:r>
    </w:p>
    <w:p w:rsidR="0065507B" w:rsidRPr="0018646B" w:rsidRDefault="0065507B" w:rsidP="0065507B">
      <w:pPr>
        <w:ind w:left="0" w:firstLine="0"/>
      </w:pPr>
      <w:r w:rsidRPr="0018646B">
        <w:t>CONCLUSIONS/SIGNIFICANCE</w:t>
      </w:r>
      <w:r w:rsidRPr="0018646B">
        <w:rPr>
          <w:b/>
        </w:rPr>
        <w:t xml:space="preserve">: Reductions in CVL are associated with decreased HIV infections. Results suggest that wide-scale ART could reduce HIV transmission at the population level. </w:t>
      </w:r>
      <w:r w:rsidRPr="0018646B">
        <w:t>Because CVL is temporally upstream of new HIV infections, jurisdictions should consider adding CVL to routine HIV surveillance to track the epidemic, allocate resources, and to evaluate the effectiveness of HIV prevention and treatment efforts.</w:t>
      </w:r>
    </w:p>
    <w:p w:rsidR="0065507B" w:rsidRPr="0018646B" w:rsidRDefault="0065507B" w:rsidP="0065507B">
      <w:pPr>
        <w:ind w:left="0" w:firstLine="0"/>
        <w:rPr>
          <w:b/>
        </w:rPr>
      </w:pPr>
    </w:p>
    <w:p w:rsidR="0065507B" w:rsidRPr="0018646B" w:rsidRDefault="0065507B" w:rsidP="0065507B">
      <w:pPr>
        <w:ind w:left="0" w:firstLine="0"/>
        <w:rPr>
          <w:b/>
        </w:rPr>
      </w:pPr>
      <w:r w:rsidRPr="0018646B">
        <w:rPr>
          <w:b/>
        </w:rPr>
        <w:t>Solomon SS1, Mehta SH2, McFall AM2, Srikrishnan AK3, Saravanan S3, Laeyendecker O4, Balakrishnan P3, Celentano DD2, Solomon S3, Lucas GM5. Community viral load, antiretroviral therapy coverage, and HIV incidence in India: a cross-sectional, comparative study.</w:t>
      </w:r>
    </w:p>
    <w:p w:rsidR="0065507B" w:rsidRPr="0018646B" w:rsidRDefault="0065507B" w:rsidP="0065507B">
      <w:pPr>
        <w:ind w:left="0" w:firstLine="0"/>
        <w:rPr>
          <w:b/>
        </w:rPr>
      </w:pPr>
      <w:r w:rsidRPr="0018646B">
        <w:rPr>
          <w:b/>
        </w:rPr>
        <w:t>Lancet HIV. 2016 Apr;3(4):e183-90. doi: 10.1016/S2352-3018(16)00019-9. Epub 2016 Mar 11.</w:t>
      </w:r>
    </w:p>
    <w:p w:rsidR="0065507B" w:rsidRPr="0018646B" w:rsidRDefault="0065507B" w:rsidP="0065507B">
      <w:pPr>
        <w:ind w:left="0" w:firstLine="0"/>
        <w:rPr>
          <w:b/>
        </w:rPr>
      </w:pPr>
    </w:p>
    <w:p w:rsidR="0065507B" w:rsidRPr="0018646B" w:rsidRDefault="0065507B" w:rsidP="0065507B">
      <w:pPr>
        <w:ind w:left="0" w:firstLine="0"/>
      </w:pPr>
      <w:r w:rsidRPr="0018646B">
        <w:t>HIV incidence is the best measure of treatment-programme effectiveness, but its measurement is difficult and expensive. The concept of community viral load as a modifiable driver of new HIV infections has attracted substantial attention. We set out to compare several measures of community viral load and antiretroviral therapy (ART) coverage as correlates of HIV incidence in high-risk populations.</w:t>
      </w:r>
    </w:p>
    <w:p w:rsidR="0065507B" w:rsidRPr="0018646B" w:rsidRDefault="0065507B" w:rsidP="0065507B">
      <w:pPr>
        <w:ind w:left="0" w:firstLine="0"/>
      </w:pPr>
      <w:r w:rsidRPr="0018646B">
        <w:t>METHODS: We analysed data from a sample of people who inject drugs and men who have sex with men, who were participants of the baseline assessment of a cluster-randomised trial in progress across 22 cities in India (ClinicalTrials.gov number NCT01686750). We recruited the study population by use of respondent-driven sampling and did the baseline assessment at 27 community-based sites (12 for men who have sex with men and 15 for people who inject drugs). We estimated HIV incidence with a multiassay algorithm and calculated five community-based measures of HIV control: mean log10 HIV RNA in participants with HIV in a community either engaged in care (in-care viral load), aware of their status but not necessarily in care (aware viral load), or all HIV-positive individuals whether they were aware, in care, or not (population viral load); participants with HIV in a community with HIV RNA more than 150 copies per mL (prevalence of viraemia); and the proportion of participants with HIV who self-reported ART use in the previous 30 days (population ART coverage). All participants were tested for HIV, with additional testing in HIV-positive individuals. We assessed correlations between the measures and HIV incidence with Spearman correlation coefficients and linear regression analysis.</w:t>
      </w:r>
    </w:p>
    <w:p w:rsidR="0065507B" w:rsidRPr="0018646B" w:rsidRDefault="0065507B" w:rsidP="0065507B">
      <w:pPr>
        <w:ind w:left="0" w:firstLine="0"/>
      </w:pPr>
      <w:r w:rsidRPr="0018646B">
        <w:t>FINDINGS: Between Oct 1, 2012, and Dec 19, 2013, we recruited 26 503 participants, 12 022 men who have sex with men and 14 481 people who inject drugs. Median incidence of HIV was 0·87% (IQR 0·40-1·17) in men who have sex with men and 1·43% (0·60-4·00) in people who inject drugs. Prevalence of viraemia was more strongly correlated with HIV incidence (correlation 0·81, 95% CI 0·62-0·91; p&lt;0·0001) than all other measures, although correlation was significant with aware viral load (0·59, 0·27-0·79; p=0·001), population viral load (0·51, 0·16-0·74; p=0·007), and population ART coverage (-0·54, -0·76 to -0·20; p=0·004). In-care viral load was not correlated with HIV incidence (0·29, -0·10 to 0·60; p=0·14). With regression analysis, we estimated that to reduce HIV incidence by 1 percentage point in a community, prevalence of viraemia would need to be reduced by 4·34%, and ART use in HIV-positive individuals would need to increase by 19·5%.</w:t>
      </w:r>
    </w:p>
    <w:p w:rsidR="0065507B" w:rsidRPr="0018646B" w:rsidRDefault="0065507B" w:rsidP="0065507B">
      <w:pPr>
        <w:ind w:left="0" w:firstLine="0"/>
        <w:rPr>
          <w:b/>
        </w:rPr>
      </w:pPr>
      <w:r w:rsidRPr="0018646B">
        <w:t xml:space="preserve">INTERPRETATION: </w:t>
      </w:r>
      <w:r w:rsidRPr="0018646B">
        <w:rPr>
          <w:b/>
        </w:rPr>
        <w:t>Prevalence of viraemia had the strongest correlation with HIV incidence in this sample and might be a useful measure of the effectiveness of a treatment program.</w:t>
      </w:r>
    </w:p>
    <w:p w:rsidR="0065507B" w:rsidRPr="0018646B" w:rsidRDefault="0065507B" w:rsidP="0065507B">
      <w:pPr>
        <w:ind w:left="0" w:firstLine="0"/>
      </w:pPr>
    </w:p>
    <w:p w:rsidR="0065507B" w:rsidRPr="0018646B" w:rsidRDefault="0065507B" w:rsidP="0065507B">
      <w:pPr>
        <w:ind w:left="0" w:firstLine="0"/>
        <w:rPr>
          <w:b/>
        </w:rPr>
      </w:pPr>
      <w:r w:rsidRPr="0018646B">
        <w:rPr>
          <w:b/>
        </w:rPr>
        <w:t>Herbeck JT1, Mittler JE1, Gottlieb GS2, Mullins JI3. An HIV epidemic model based on viral load dynamics: value in assessing empirical trends in HIV virulence and community viral load. PLoS Comput Biol. 2014 Jun 19;10(6):e1003673. doi: 10.1371/journal.pcbi.1003673. eCollection 2014.</w:t>
      </w:r>
    </w:p>
    <w:p w:rsidR="0065507B" w:rsidRPr="0018646B" w:rsidRDefault="0065507B" w:rsidP="0065507B">
      <w:pPr>
        <w:ind w:left="0" w:firstLine="0"/>
      </w:pPr>
    </w:p>
    <w:p w:rsidR="0065507B" w:rsidRPr="0018646B" w:rsidRDefault="0065507B" w:rsidP="0065507B">
      <w:pPr>
        <w:ind w:left="0" w:firstLine="0"/>
      </w:pPr>
      <w:r w:rsidRPr="0018646B">
        <w:t>Trends in HIV virulence have been monitored since the start of the AIDS pandemic, as studying HIV virulence informs our understanding of HIV epidemiology and pathogenesis. Here, we model changes in HIV virulence as a strictly evolutionary process, using set point viral load (SPVL) as a proxy, to make inferences about empirical SPVL trends from longitudinal HIV cohorts. We develop an agent-based epidemic model based on HIV viral load dynamics. The model contains functions for viral load and transmission, SPVL and disease progression, viral load trajectories in multiple stages of infection, and the heritability of SPVL across transmissions. We find that HIV virulence evolves to an intermediate level that balances infectiousness with longer infected lifespans, resulting in an optimal SPVL</w:t>
      </w:r>
      <w:r w:rsidRPr="0018646B">
        <w:rPr>
          <w:rFonts w:ascii="Cambria Math" w:hAnsi="Cambria Math" w:cs="Cambria Math"/>
        </w:rPr>
        <w:t>∼</w:t>
      </w:r>
      <w:r w:rsidRPr="0018646B">
        <w:t>4.75 log10 viral RNA copies/mL. Adaptive viral evolution may explain observed HIV virulence trends: our model produces SPVL trends with magnitudes that are broadly similar to empirical trends. With regard to variation among studies in empirical SPVL trends, results from our model suggest that variation may be explained by the specific epidemic context, e.g. the mean SPVL of the founding lineage or the age of the epidemic; or improvements in HIV screening and diagnosis that results in sampling biases. We also use our model to examine trends in community viral load, a population-level measure of HIV viral load that is thought to reflect a population's overall transmission potential. We find that community viral load evolves in association with SPVL, in the absence of prevention programs such as antiretroviral therapy, and that the mean community viral load is not necessarily a strong predictor of HIV incidence.</w:t>
      </w:r>
    </w:p>
    <w:p w:rsidR="0065507B" w:rsidRPr="0018646B" w:rsidRDefault="0065507B" w:rsidP="0065507B">
      <w:pPr>
        <w:ind w:left="0" w:firstLine="0"/>
        <w:rPr>
          <w:b/>
        </w:rPr>
      </w:pPr>
    </w:p>
    <w:p w:rsidR="0065507B" w:rsidRPr="0018646B" w:rsidRDefault="0065507B" w:rsidP="0065507B">
      <w:pPr>
        <w:ind w:left="0" w:firstLine="0"/>
        <w:rPr>
          <w:b/>
        </w:rPr>
      </w:pPr>
      <w:r w:rsidRPr="0018646B">
        <w:rPr>
          <w:b/>
        </w:rPr>
        <w:t xml:space="preserve">Touzard Romo F1, Gillani FS2, Ackerman P2, Rana A2, Kojic EM2, Beckwith CG2. Monitored viral load: a measure of HIV treatment outcomes in an outpatient setting in Rhode Island. R I Med J (2013). 2014 Jan 5;98(1):26-30. </w:t>
      </w:r>
      <w:hyperlink r:id="rId42" w:history="1">
        <w:r w:rsidRPr="0018646B">
          <w:rPr>
            <w:rStyle w:val="Hyperlink"/>
            <w:b/>
          </w:rPr>
          <w:t>http://www.ncbi.nlm.nih.gov/pmc/articles/PMC4357270/</w:t>
        </w:r>
      </w:hyperlink>
      <w:r w:rsidRPr="0018646B">
        <w:rPr>
          <w:b/>
        </w:rPr>
        <w:t xml:space="preserve"> </w:t>
      </w:r>
    </w:p>
    <w:p w:rsidR="0065507B" w:rsidRPr="0018646B" w:rsidRDefault="0065507B" w:rsidP="0065507B">
      <w:pPr>
        <w:ind w:left="0" w:firstLine="0"/>
      </w:pPr>
    </w:p>
    <w:p w:rsidR="0065507B" w:rsidRPr="0018646B" w:rsidRDefault="0065507B" w:rsidP="0065507B">
      <w:pPr>
        <w:ind w:left="0" w:firstLine="0"/>
      </w:pPr>
      <w:r w:rsidRPr="0018646B">
        <w:t>Community viral load measurements have been postulated to be a population-based biomarker of HIV disease. We propose the use of the monitored community viral load (mCVL) as an aggregate measure of viral load among persons receiving HIV care with available HIV-1 plasma viral loads and applied it to our clinic population from 2003-2010. We demonstrated a reduction in mCVL from 16,589 copies/ml to 11,992 copies/ml that correlated with a rising rate of antiretroviral use and HIV viral suppression; however, differences among risk populations were observed. The mCVL is a useful measure of HIV burden among patients in-care; it may reflect the HIV transmission risk in the community and help target preventive interventions.</w:t>
      </w:r>
    </w:p>
    <w:p w:rsidR="0032556F" w:rsidRPr="0018646B" w:rsidRDefault="0032556F" w:rsidP="00CE5947">
      <w:pPr>
        <w:ind w:left="0" w:firstLine="0"/>
      </w:pPr>
    </w:p>
    <w:p w:rsidR="00C7742C" w:rsidRPr="0018646B" w:rsidRDefault="00C7742C" w:rsidP="00C7742C">
      <w:pPr>
        <w:ind w:left="0" w:firstLine="0"/>
      </w:pPr>
    </w:p>
    <w:sectPr w:rsidR="00C7742C" w:rsidRPr="0018646B">
      <w:headerReference w:type="default" r:id="rId43"/>
      <w:footerReference w:type="default" r:id="rId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48D" w:rsidRDefault="008D348D" w:rsidP="007E37A5">
      <w:r>
        <w:separator/>
      </w:r>
    </w:p>
  </w:endnote>
  <w:endnote w:type="continuationSeparator" w:id="0">
    <w:p w:rsidR="008D348D" w:rsidRDefault="008D348D"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WPDT M+ Frutiger">
    <w:altName w:val="Frutiger"/>
    <w:panose1 w:val="00000000000000000000"/>
    <w:charset w:val="00"/>
    <w:family w:val="swiss"/>
    <w:notTrueType/>
    <w:pitch w:val="default"/>
    <w:sig w:usb0="00000003" w:usb1="00000000" w:usb2="00000000" w:usb3="00000000" w:csb0="00000001" w:csb1="00000000"/>
  </w:font>
  <w:font w:name="PWPDT M+ Trade Gothic">
    <w:altName w:val="Trade Gothic"/>
    <w:panose1 w:val="00000000000000000000"/>
    <w:charset w:val="00"/>
    <w:family w:val="swiss"/>
    <w:notTrueType/>
    <w:pitch w:val="default"/>
    <w:sig w:usb0="00000003" w:usb1="00000000" w:usb2="00000000" w:usb3="00000000" w:csb0="00000001" w:csb1="00000000"/>
  </w:font>
  <w:font w:name="Frutiger 47LightCn">
    <w:altName w:val="Frutiger 47LightCn"/>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Condensed-Bold">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Narrow-Bold">
    <w:panose1 w:val="00000000000000000000"/>
    <w:charset w:val="00"/>
    <w:family w:val="swiss"/>
    <w:notTrueType/>
    <w:pitch w:val="default"/>
    <w:sig w:usb0="00000003" w:usb1="00000000" w:usb2="00000000" w:usb3="00000000" w:csb0="00000001" w:csb1="00000000"/>
  </w:font>
  <w:font w:name="Myriad Pro Cond">
    <w:altName w:val="MS Gothic"/>
    <w:panose1 w:val="00000000000000000000"/>
    <w:charset w:val="80"/>
    <w:family w:val="swiss"/>
    <w:notTrueType/>
    <w:pitch w:val="default"/>
    <w:sig w:usb0="00000000" w:usb1="08070000" w:usb2="00000010" w:usb3="00000000" w:csb0="00020001" w:csb1="00000000"/>
  </w:font>
  <w:font w:name="ArialNarrow-BoldItalic">
    <w:panose1 w:val="00000000000000000000"/>
    <w:charset w:val="00"/>
    <w:family w:val="swiss"/>
    <w:notTrueType/>
    <w:pitch w:val="default"/>
    <w:sig w:usb0="00000003" w:usb1="00000000" w:usb2="00000000" w:usb3="00000000" w:csb0="00000001" w:csb1="00000000"/>
  </w:font>
  <w:font w:name="ArialNarrow">
    <w:panose1 w:val="00000000000000000000"/>
    <w:charset w:val="00"/>
    <w:family w:val="swiss"/>
    <w:notTrueType/>
    <w:pitch w:val="default"/>
    <w:sig w:usb0="00000003" w:usb1="00000000" w:usb2="00000000" w:usb3="00000000" w:csb0="00000001" w:csb1="00000000"/>
  </w:font>
  <w:font w:name="Helvetica-Bold">
    <w:panose1 w:val="00000000000000000000"/>
    <w:charset w:val="00"/>
    <w:family w:val="swiss"/>
    <w:notTrueType/>
    <w:pitch w:val="default"/>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 w:name="Frutiger-Cn">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0B17" w:rsidRDefault="00CA0B17">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8D348D">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48D" w:rsidRDefault="008D348D" w:rsidP="007E37A5">
      <w:r>
        <w:separator/>
      </w:r>
    </w:p>
  </w:footnote>
  <w:footnote w:type="continuationSeparator" w:id="0">
    <w:p w:rsidR="008D348D" w:rsidRDefault="008D348D"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0B17" w:rsidRDefault="00CA0B1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96318"/>
    <w:multiLevelType w:val="hybridMultilevel"/>
    <w:tmpl w:val="9D52C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D4682"/>
    <w:multiLevelType w:val="hybridMultilevel"/>
    <w:tmpl w:val="5F28E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67240"/>
    <w:multiLevelType w:val="multilevel"/>
    <w:tmpl w:val="B0CC3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C12B4C"/>
    <w:multiLevelType w:val="multilevel"/>
    <w:tmpl w:val="86C01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B465D"/>
    <w:multiLevelType w:val="hybridMultilevel"/>
    <w:tmpl w:val="377AC1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4768D"/>
    <w:multiLevelType w:val="hybridMultilevel"/>
    <w:tmpl w:val="35DEFC4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6A3A8B"/>
    <w:multiLevelType w:val="hybridMultilevel"/>
    <w:tmpl w:val="66C2A2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1F3FAD"/>
    <w:multiLevelType w:val="hybridMultilevel"/>
    <w:tmpl w:val="0484A5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566272"/>
    <w:multiLevelType w:val="hybridMultilevel"/>
    <w:tmpl w:val="DCD0D1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E6A3D"/>
    <w:multiLevelType w:val="hybridMultilevel"/>
    <w:tmpl w:val="F3D84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6A74D3"/>
    <w:multiLevelType w:val="multilevel"/>
    <w:tmpl w:val="4ACE1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215DBB"/>
    <w:multiLevelType w:val="hybridMultilevel"/>
    <w:tmpl w:val="4844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92EDA"/>
    <w:multiLevelType w:val="multilevel"/>
    <w:tmpl w:val="4F4A540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DF5221"/>
    <w:multiLevelType w:val="hybridMultilevel"/>
    <w:tmpl w:val="1C5407F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7C4084"/>
    <w:multiLevelType w:val="hybridMultilevel"/>
    <w:tmpl w:val="D096B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94426C"/>
    <w:multiLevelType w:val="hybridMultilevel"/>
    <w:tmpl w:val="B1941E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4016CE"/>
    <w:multiLevelType w:val="multilevel"/>
    <w:tmpl w:val="2CE83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AE4A27"/>
    <w:multiLevelType w:val="hybridMultilevel"/>
    <w:tmpl w:val="F8E40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560599D"/>
    <w:multiLevelType w:val="hybridMultilevel"/>
    <w:tmpl w:val="2AF67B78"/>
    <w:lvl w:ilvl="0" w:tplc="0D143AD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9F629E"/>
    <w:multiLevelType w:val="multilevel"/>
    <w:tmpl w:val="1EC2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C2943BD"/>
    <w:multiLevelType w:val="multilevel"/>
    <w:tmpl w:val="C9A20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FF1303"/>
    <w:multiLevelType w:val="hybridMultilevel"/>
    <w:tmpl w:val="220C6C9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1B86CC9"/>
    <w:multiLevelType w:val="multilevel"/>
    <w:tmpl w:val="5AACC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670FEC"/>
    <w:multiLevelType w:val="hybridMultilevel"/>
    <w:tmpl w:val="1920214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3541E6"/>
    <w:multiLevelType w:val="multilevel"/>
    <w:tmpl w:val="4F4A540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2251FB2"/>
    <w:multiLevelType w:val="hybridMultilevel"/>
    <w:tmpl w:val="4A78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1F133D1"/>
    <w:multiLevelType w:val="multilevel"/>
    <w:tmpl w:val="3A7AB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EB490C"/>
    <w:multiLevelType w:val="hybridMultilevel"/>
    <w:tmpl w:val="40A42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C0D6B"/>
    <w:multiLevelType w:val="hybridMultilevel"/>
    <w:tmpl w:val="F8FE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D80D57"/>
    <w:multiLevelType w:val="multilevel"/>
    <w:tmpl w:val="FABC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893143"/>
    <w:multiLevelType w:val="hybridMultilevel"/>
    <w:tmpl w:val="4BEC01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2A42BC"/>
    <w:multiLevelType w:val="hybridMultilevel"/>
    <w:tmpl w:val="FF04F494"/>
    <w:lvl w:ilvl="0" w:tplc="04090001">
      <w:start w:val="1"/>
      <w:numFmt w:val="bullet"/>
      <w:lvlText w:val=""/>
      <w:lvlJc w:val="left"/>
      <w:pPr>
        <w:ind w:left="720" w:hanging="360"/>
      </w:pPr>
      <w:rPr>
        <w:rFonts w:ascii="Symbol" w:hAnsi="Symbol" w:hint="default"/>
      </w:rPr>
    </w:lvl>
    <w:lvl w:ilvl="1" w:tplc="57409568">
      <w:numFmt w:val="bullet"/>
      <w:lvlText w:val="•"/>
      <w:lvlJc w:val="left"/>
      <w:pPr>
        <w:ind w:left="1440" w:hanging="360"/>
      </w:pPr>
      <w:rPr>
        <w:rFonts w:asciiTheme="minorHAnsi" w:eastAsiaTheme="minorHAnsi" w:hAnsiTheme="minorHAns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D7FB6"/>
    <w:multiLevelType w:val="hybridMultilevel"/>
    <w:tmpl w:val="950A24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4AA77DA"/>
    <w:multiLevelType w:val="hybridMultilevel"/>
    <w:tmpl w:val="7BA2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F84A7A"/>
    <w:multiLevelType w:val="multilevel"/>
    <w:tmpl w:val="D4C8B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31"/>
  </w:num>
  <w:num w:numId="3">
    <w:abstractNumId w:val="10"/>
  </w:num>
  <w:num w:numId="4">
    <w:abstractNumId w:val="14"/>
  </w:num>
  <w:num w:numId="5">
    <w:abstractNumId w:val="21"/>
  </w:num>
  <w:num w:numId="6">
    <w:abstractNumId w:val="19"/>
  </w:num>
  <w:num w:numId="7">
    <w:abstractNumId w:val="37"/>
  </w:num>
  <w:num w:numId="8">
    <w:abstractNumId w:val="34"/>
  </w:num>
  <w:num w:numId="9">
    <w:abstractNumId w:val="35"/>
  </w:num>
  <w:num w:numId="10">
    <w:abstractNumId w:val="25"/>
  </w:num>
  <w:num w:numId="11">
    <w:abstractNumId w:val="27"/>
  </w:num>
  <w:num w:numId="12">
    <w:abstractNumId w:val="11"/>
  </w:num>
  <w:num w:numId="13">
    <w:abstractNumId w:val="2"/>
  </w:num>
  <w:num w:numId="14">
    <w:abstractNumId w:val="38"/>
  </w:num>
  <w:num w:numId="15">
    <w:abstractNumId w:val="32"/>
  </w:num>
  <w:num w:numId="16">
    <w:abstractNumId w:val="4"/>
  </w:num>
  <w:num w:numId="17">
    <w:abstractNumId w:val="23"/>
  </w:num>
  <w:num w:numId="18">
    <w:abstractNumId w:val="28"/>
  </w:num>
  <w:num w:numId="19">
    <w:abstractNumId w:val="7"/>
  </w:num>
  <w:num w:numId="20">
    <w:abstractNumId w:val="40"/>
  </w:num>
  <w:num w:numId="21">
    <w:abstractNumId w:val="26"/>
  </w:num>
  <w:num w:numId="22">
    <w:abstractNumId w:val="36"/>
  </w:num>
  <w:num w:numId="23">
    <w:abstractNumId w:val="15"/>
  </w:num>
  <w:num w:numId="24">
    <w:abstractNumId w:val="42"/>
  </w:num>
  <w:num w:numId="25">
    <w:abstractNumId w:val="13"/>
  </w:num>
  <w:num w:numId="26">
    <w:abstractNumId w:val="18"/>
  </w:num>
  <w:num w:numId="27">
    <w:abstractNumId w:val="29"/>
  </w:num>
  <w:num w:numId="28">
    <w:abstractNumId w:val="1"/>
  </w:num>
  <w:num w:numId="29">
    <w:abstractNumId w:val="6"/>
  </w:num>
  <w:num w:numId="30">
    <w:abstractNumId w:val="8"/>
  </w:num>
  <w:num w:numId="31">
    <w:abstractNumId w:val="5"/>
  </w:num>
  <w:num w:numId="32">
    <w:abstractNumId w:val="22"/>
  </w:num>
  <w:num w:numId="33">
    <w:abstractNumId w:val="17"/>
  </w:num>
  <w:num w:numId="34">
    <w:abstractNumId w:val="39"/>
  </w:num>
  <w:num w:numId="35">
    <w:abstractNumId w:val="16"/>
  </w:num>
  <w:num w:numId="36">
    <w:abstractNumId w:val="33"/>
  </w:num>
  <w:num w:numId="37">
    <w:abstractNumId w:val="20"/>
  </w:num>
  <w:num w:numId="38">
    <w:abstractNumId w:val="3"/>
  </w:num>
  <w:num w:numId="39">
    <w:abstractNumId w:val="30"/>
  </w:num>
  <w:num w:numId="40">
    <w:abstractNumId w:val="9"/>
  </w:num>
  <w:num w:numId="41">
    <w:abstractNumId w:val="12"/>
  </w:num>
  <w:num w:numId="42">
    <w:abstractNumId w:val="0"/>
  </w:num>
  <w:num w:numId="4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004C8"/>
    <w:rsid w:val="00015986"/>
    <w:rsid w:val="000160E6"/>
    <w:rsid w:val="00024526"/>
    <w:rsid w:val="00030F43"/>
    <w:rsid w:val="00040DCF"/>
    <w:rsid w:val="000419EB"/>
    <w:rsid w:val="00052C0B"/>
    <w:rsid w:val="00061CF3"/>
    <w:rsid w:val="00063601"/>
    <w:rsid w:val="00065B07"/>
    <w:rsid w:val="00073079"/>
    <w:rsid w:val="0007593F"/>
    <w:rsid w:val="00081487"/>
    <w:rsid w:val="00095EC9"/>
    <w:rsid w:val="00096A37"/>
    <w:rsid w:val="000A0810"/>
    <w:rsid w:val="000B2690"/>
    <w:rsid w:val="000B3ED7"/>
    <w:rsid w:val="000B45FF"/>
    <w:rsid w:val="000B627F"/>
    <w:rsid w:val="000D649E"/>
    <w:rsid w:val="000D6D06"/>
    <w:rsid w:val="00102D2D"/>
    <w:rsid w:val="00114848"/>
    <w:rsid w:val="00120934"/>
    <w:rsid w:val="001209EC"/>
    <w:rsid w:val="001259DF"/>
    <w:rsid w:val="00132070"/>
    <w:rsid w:val="00137141"/>
    <w:rsid w:val="00141875"/>
    <w:rsid w:val="0014347E"/>
    <w:rsid w:val="0015436C"/>
    <w:rsid w:val="00154438"/>
    <w:rsid w:val="001551F6"/>
    <w:rsid w:val="0015535B"/>
    <w:rsid w:val="001558E5"/>
    <w:rsid w:val="00161621"/>
    <w:rsid w:val="00162036"/>
    <w:rsid w:val="001632DD"/>
    <w:rsid w:val="00167728"/>
    <w:rsid w:val="00176E60"/>
    <w:rsid w:val="00183862"/>
    <w:rsid w:val="00185D81"/>
    <w:rsid w:val="0018646B"/>
    <w:rsid w:val="00194D9A"/>
    <w:rsid w:val="001A196B"/>
    <w:rsid w:val="001A6D05"/>
    <w:rsid w:val="001B1916"/>
    <w:rsid w:val="001B26B3"/>
    <w:rsid w:val="001B38BF"/>
    <w:rsid w:val="001B772D"/>
    <w:rsid w:val="001C38A3"/>
    <w:rsid w:val="001C60C8"/>
    <w:rsid w:val="001D5B5D"/>
    <w:rsid w:val="001E0CEB"/>
    <w:rsid w:val="001E6153"/>
    <w:rsid w:val="001E75B4"/>
    <w:rsid w:val="0020191B"/>
    <w:rsid w:val="00201FF9"/>
    <w:rsid w:val="00205857"/>
    <w:rsid w:val="00235ADC"/>
    <w:rsid w:val="00236F87"/>
    <w:rsid w:val="0024431B"/>
    <w:rsid w:val="00265702"/>
    <w:rsid w:val="00265AA0"/>
    <w:rsid w:val="002662B2"/>
    <w:rsid w:val="002717C7"/>
    <w:rsid w:val="00282542"/>
    <w:rsid w:val="002875E9"/>
    <w:rsid w:val="00287EB3"/>
    <w:rsid w:val="002A47BA"/>
    <w:rsid w:val="002A6777"/>
    <w:rsid w:val="002B06BD"/>
    <w:rsid w:val="002C0E48"/>
    <w:rsid w:val="002C2BDA"/>
    <w:rsid w:val="002C6F04"/>
    <w:rsid w:val="002D1048"/>
    <w:rsid w:val="002D37F5"/>
    <w:rsid w:val="002E2177"/>
    <w:rsid w:val="002E2E41"/>
    <w:rsid w:val="002E78CD"/>
    <w:rsid w:val="002F20A7"/>
    <w:rsid w:val="003008F4"/>
    <w:rsid w:val="00302B1D"/>
    <w:rsid w:val="00307FA5"/>
    <w:rsid w:val="003100CC"/>
    <w:rsid w:val="003149A1"/>
    <w:rsid w:val="00324D64"/>
    <w:rsid w:val="0032556F"/>
    <w:rsid w:val="00347C22"/>
    <w:rsid w:val="00352B52"/>
    <w:rsid w:val="00354480"/>
    <w:rsid w:val="0035760D"/>
    <w:rsid w:val="00363ECC"/>
    <w:rsid w:val="0039020B"/>
    <w:rsid w:val="0039329D"/>
    <w:rsid w:val="00395263"/>
    <w:rsid w:val="003956E0"/>
    <w:rsid w:val="0039609A"/>
    <w:rsid w:val="00397500"/>
    <w:rsid w:val="0039792D"/>
    <w:rsid w:val="003A7B84"/>
    <w:rsid w:val="003B1CC5"/>
    <w:rsid w:val="003B65CE"/>
    <w:rsid w:val="003C43B9"/>
    <w:rsid w:val="003C501F"/>
    <w:rsid w:val="003C5C0B"/>
    <w:rsid w:val="003D12F6"/>
    <w:rsid w:val="003E039E"/>
    <w:rsid w:val="003E0BE0"/>
    <w:rsid w:val="003E6C57"/>
    <w:rsid w:val="00406CD6"/>
    <w:rsid w:val="00422917"/>
    <w:rsid w:val="00440687"/>
    <w:rsid w:val="0044131D"/>
    <w:rsid w:val="00441353"/>
    <w:rsid w:val="00441ADA"/>
    <w:rsid w:val="00445A9C"/>
    <w:rsid w:val="004560E7"/>
    <w:rsid w:val="00457E46"/>
    <w:rsid w:val="00492278"/>
    <w:rsid w:val="00496AF8"/>
    <w:rsid w:val="004A03AC"/>
    <w:rsid w:val="004A575D"/>
    <w:rsid w:val="004B5D22"/>
    <w:rsid w:val="004B65C6"/>
    <w:rsid w:val="004D1DC7"/>
    <w:rsid w:val="004D3BFE"/>
    <w:rsid w:val="004D3D76"/>
    <w:rsid w:val="004F13B1"/>
    <w:rsid w:val="004F7D7E"/>
    <w:rsid w:val="00500B0C"/>
    <w:rsid w:val="00510317"/>
    <w:rsid w:val="00517B62"/>
    <w:rsid w:val="005208FB"/>
    <w:rsid w:val="0052347B"/>
    <w:rsid w:val="00537150"/>
    <w:rsid w:val="00540984"/>
    <w:rsid w:val="00543475"/>
    <w:rsid w:val="00543851"/>
    <w:rsid w:val="0055559D"/>
    <w:rsid w:val="005569AE"/>
    <w:rsid w:val="00562BFC"/>
    <w:rsid w:val="005857F8"/>
    <w:rsid w:val="005A7E35"/>
    <w:rsid w:val="005B0D18"/>
    <w:rsid w:val="005B12C3"/>
    <w:rsid w:val="005B33F5"/>
    <w:rsid w:val="005B409D"/>
    <w:rsid w:val="005C168E"/>
    <w:rsid w:val="005D0FDB"/>
    <w:rsid w:val="005D25E9"/>
    <w:rsid w:val="005D6D59"/>
    <w:rsid w:val="005D6DD0"/>
    <w:rsid w:val="00604047"/>
    <w:rsid w:val="00617390"/>
    <w:rsid w:val="00621510"/>
    <w:rsid w:val="00623420"/>
    <w:rsid w:val="0062419F"/>
    <w:rsid w:val="00626ED5"/>
    <w:rsid w:val="00634768"/>
    <w:rsid w:val="0063596F"/>
    <w:rsid w:val="0064473C"/>
    <w:rsid w:val="0065507B"/>
    <w:rsid w:val="006709EB"/>
    <w:rsid w:val="00672824"/>
    <w:rsid w:val="0068184A"/>
    <w:rsid w:val="006962C6"/>
    <w:rsid w:val="006B5C51"/>
    <w:rsid w:val="006C7F30"/>
    <w:rsid w:val="006E29E7"/>
    <w:rsid w:val="006E6FDD"/>
    <w:rsid w:val="006E775F"/>
    <w:rsid w:val="006E7E32"/>
    <w:rsid w:val="006F4B7F"/>
    <w:rsid w:val="006F760B"/>
    <w:rsid w:val="00701CC3"/>
    <w:rsid w:val="00714934"/>
    <w:rsid w:val="00714B26"/>
    <w:rsid w:val="007176ED"/>
    <w:rsid w:val="00722EAE"/>
    <w:rsid w:val="00724801"/>
    <w:rsid w:val="00734949"/>
    <w:rsid w:val="00736AEC"/>
    <w:rsid w:val="00736E0F"/>
    <w:rsid w:val="007434FA"/>
    <w:rsid w:val="007573F0"/>
    <w:rsid w:val="00765156"/>
    <w:rsid w:val="00767669"/>
    <w:rsid w:val="00773485"/>
    <w:rsid w:val="00773EDD"/>
    <w:rsid w:val="007748C5"/>
    <w:rsid w:val="0077510D"/>
    <w:rsid w:val="00776E8F"/>
    <w:rsid w:val="00776F6D"/>
    <w:rsid w:val="007866B8"/>
    <w:rsid w:val="00795DDD"/>
    <w:rsid w:val="007A0BAB"/>
    <w:rsid w:val="007B467C"/>
    <w:rsid w:val="007C0297"/>
    <w:rsid w:val="007C1887"/>
    <w:rsid w:val="007D4775"/>
    <w:rsid w:val="007D5DC6"/>
    <w:rsid w:val="007D6B9A"/>
    <w:rsid w:val="007E2C7F"/>
    <w:rsid w:val="007E37A5"/>
    <w:rsid w:val="007F49D8"/>
    <w:rsid w:val="00805940"/>
    <w:rsid w:val="0082619B"/>
    <w:rsid w:val="00836AE4"/>
    <w:rsid w:val="00837121"/>
    <w:rsid w:val="008471E5"/>
    <w:rsid w:val="00850C35"/>
    <w:rsid w:val="00851466"/>
    <w:rsid w:val="00862166"/>
    <w:rsid w:val="00863E43"/>
    <w:rsid w:val="008647C3"/>
    <w:rsid w:val="008659ED"/>
    <w:rsid w:val="00870987"/>
    <w:rsid w:val="0087564A"/>
    <w:rsid w:val="00881160"/>
    <w:rsid w:val="0088371C"/>
    <w:rsid w:val="00885241"/>
    <w:rsid w:val="00886536"/>
    <w:rsid w:val="00895D79"/>
    <w:rsid w:val="008A4378"/>
    <w:rsid w:val="008A45F3"/>
    <w:rsid w:val="008A4C80"/>
    <w:rsid w:val="008B51D9"/>
    <w:rsid w:val="008B652E"/>
    <w:rsid w:val="008C0CCE"/>
    <w:rsid w:val="008D348D"/>
    <w:rsid w:val="008D61BD"/>
    <w:rsid w:val="008E36AC"/>
    <w:rsid w:val="008F1DC6"/>
    <w:rsid w:val="008F57F3"/>
    <w:rsid w:val="00905C5B"/>
    <w:rsid w:val="0091207C"/>
    <w:rsid w:val="00923295"/>
    <w:rsid w:val="00925F11"/>
    <w:rsid w:val="00927514"/>
    <w:rsid w:val="0093238C"/>
    <w:rsid w:val="00935265"/>
    <w:rsid w:val="0094689F"/>
    <w:rsid w:val="009477D6"/>
    <w:rsid w:val="00953ED3"/>
    <w:rsid w:val="00965FF6"/>
    <w:rsid w:val="009846D6"/>
    <w:rsid w:val="0098657F"/>
    <w:rsid w:val="00995D12"/>
    <w:rsid w:val="00996BDD"/>
    <w:rsid w:val="009A3236"/>
    <w:rsid w:val="009B5A93"/>
    <w:rsid w:val="009B5BEA"/>
    <w:rsid w:val="009C2370"/>
    <w:rsid w:val="009C291F"/>
    <w:rsid w:val="009E37BD"/>
    <w:rsid w:val="009E6B86"/>
    <w:rsid w:val="00A03301"/>
    <w:rsid w:val="00A12762"/>
    <w:rsid w:val="00A13257"/>
    <w:rsid w:val="00A13867"/>
    <w:rsid w:val="00A25F07"/>
    <w:rsid w:val="00A26FED"/>
    <w:rsid w:val="00A379F6"/>
    <w:rsid w:val="00A421D4"/>
    <w:rsid w:val="00A44FF0"/>
    <w:rsid w:val="00A50E55"/>
    <w:rsid w:val="00A6200A"/>
    <w:rsid w:val="00A67EB1"/>
    <w:rsid w:val="00A77064"/>
    <w:rsid w:val="00A7749D"/>
    <w:rsid w:val="00A87795"/>
    <w:rsid w:val="00A91A47"/>
    <w:rsid w:val="00A95D2B"/>
    <w:rsid w:val="00A95EBD"/>
    <w:rsid w:val="00A976E6"/>
    <w:rsid w:val="00AA5587"/>
    <w:rsid w:val="00AC0678"/>
    <w:rsid w:val="00AC1E53"/>
    <w:rsid w:val="00AD3A79"/>
    <w:rsid w:val="00AD5CF0"/>
    <w:rsid w:val="00AD79C8"/>
    <w:rsid w:val="00AE6CE0"/>
    <w:rsid w:val="00B033F1"/>
    <w:rsid w:val="00B058A6"/>
    <w:rsid w:val="00B117D0"/>
    <w:rsid w:val="00B13998"/>
    <w:rsid w:val="00B14E0C"/>
    <w:rsid w:val="00B32AA6"/>
    <w:rsid w:val="00B439DD"/>
    <w:rsid w:val="00B52E0F"/>
    <w:rsid w:val="00B54578"/>
    <w:rsid w:val="00B547C7"/>
    <w:rsid w:val="00B74629"/>
    <w:rsid w:val="00B91F58"/>
    <w:rsid w:val="00B97C98"/>
    <w:rsid w:val="00BA579E"/>
    <w:rsid w:val="00BB5B2F"/>
    <w:rsid w:val="00BC6CD9"/>
    <w:rsid w:val="00BE2295"/>
    <w:rsid w:val="00BE3F4B"/>
    <w:rsid w:val="00BE6373"/>
    <w:rsid w:val="00BE697C"/>
    <w:rsid w:val="00BF533A"/>
    <w:rsid w:val="00BF59BD"/>
    <w:rsid w:val="00C15EDD"/>
    <w:rsid w:val="00C178FC"/>
    <w:rsid w:val="00C3368D"/>
    <w:rsid w:val="00C46677"/>
    <w:rsid w:val="00C5180E"/>
    <w:rsid w:val="00C54E40"/>
    <w:rsid w:val="00C55F56"/>
    <w:rsid w:val="00C55FF4"/>
    <w:rsid w:val="00C57BA4"/>
    <w:rsid w:val="00C613EB"/>
    <w:rsid w:val="00C65438"/>
    <w:rsid w:val="00C7742C"/>
    <w:rsid w:val="00C84623"/>
    <w:rsid w:val="00CA0B17"/>
    <w:rsid w:val="00CB06C9"/>
    <w:rsid w:val="00CB1E41"/>
    <w:rsid w:val="00CB271C"/>
    <w:rsid w:val="00CB46FD"/>
    <w:rsid w:val="00CC762D"/>
    <w:rsid w:val="00CE4F96"/>
    <w:rsid w:val="00CE5947"/>
    <w:rsid w:val="00CF0AB1"/>
    <w:rsid w:val="00CF1AED"/>
    <w:rsid w:val="00CF4B9B"/>
    <w:rsid w:val="00CF55E6"/>
    <w:rsid w:val="00CF772F"/>
    <w:rsid w:val="00D016E2"/>
    <w:rsid w:val="00D048DB"/>
    <w:rsid w:val="00D123D0"/>
    <w:rsid w:val="00D14F0B"/>
    <w:rsid w:val="00D178CA"/>
    <w:rsid w:val="00D20B36"/>
    <w:rsid w:val="00D3311C"/>
    <w:rsid w:val="00D53405"/>
    <w:rsid w:val="00D5457B"/>
    <w:rsid w:val="00D55E8D"/>
    <w:rsid w:val="00D72995"/>
    <w:rsid w:val="00D93E31"/>
    <w:rsid w:val="00D94027"/>
    <w:rsid w:val="00DA3440"/>
    <w:rsid w:val="00DA7FA2"/>
    <w:rsid w:val="00DB3DA1"/>
    <w:rsid w:val="00DC2D8D"/>
    <w:rsid w:val="00DC4367"/>
    <w:rsid w:val="00DE1F5D"/>
    <w:rsid w:val="00DE50D8"/>
    <w:rsid w:val="00DE7722"/>
    <w:rsid w:val="00DE79DA"/>
    <w:rsid w:val="00DF278A"/>
    <w:rsid w:val="00DF64DC"/>
    <w:rsid w:val="00E1664B"/>
    <w:rsid w:val="00E2324F"/>
    <w:rsid w:val="00E30D12"/>
    <w:rsid w:val="00E3323C"/>
    <w:rsid w:val="00E3394E"/>
    <w:rsid w:val="00E35241"/>
    <w:rsid w:val="00E41417"/>
    <w:rsid w:val="00E429A2"/>
    <w:rsid w:val="00E536D3"/>
    <w:rsid w:val="00E57BE2"/>
    <w:rsid w:val="00E62A95"/>
    <w:rsid w:val="00E62F3A"/>
    <w:rsid w:val="00E746A2"/>
    <w:rsid w:val="00E90D06"/>
    <w:rsid w:val="00E97E59"/>
    <w:rsid w:val="00EA4491"/>
    <w:rsid w:val="00EA79C9"/>
    <w:rsid w:val="00EB66AC"/>
    <w:rsid w:val="00EC2247"/>
    <w:rsid w:val="00EC3C53"/>
    <w:rsid w:val="00EE1F87"/>
    <w:rsid w:val="00EE3931"/>
    <w:rsid w:val="00EE5AF6"/>
    <w:rsid w:val="00EF2CEF"/>
    <w:rsid w:val="00EF59ED"/>
    <w:rsid w:val="00F01318"/>
    <w:rsid w:val="00F07608"/>
    <w:rsid w:val="00F1092D"/>
    <w:rsid w:val="00F10B9E"/>
    <w:rsid w:val="00F355A8"/>
    <w:rsid w:val="00F36BAC"/>
    <w:rsid w:val="00F37775"/>
    <w:rsid w:val="00F42C20"/>
    <w:rsid w:val="00F431D8"/>
    <w:rsid w:val="00F64B11"/>
    <w:rsid w:val="00F67706"/>
    <w:rsid w:val="00F92D75"/>
    <w:rsid w:val="00F97327"/>
    <w:rsid w:val="00FA296F"/>
    <w:rsid w:val="00FA7323"/>
    <w:rsid w:val="00FB4085"/>
    <w:rsid w:val="00FC32D3"/>
    <w:rsid w:val="00FD4D82"/>
    <w:rsid w:val="00FE57AE"/>
    <w:rsid w:val="00FF6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BB6AEC"/>
  <w15:docId w15:val="{16AC6CE6-83E0-4193-9D81-F4EF95A2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1">
    <w:name w:val="heading 1"/>
    <w:basedOn w:val="Normal"/>
    <w:next w:val="Normal"/>
    <w:link w:val="Heading1Char"/>
    <w:uiPriority w:val="9"/>
    <w:qFormat/>
    <w:rsid w:val="000004C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paragraph" w:styleId="Heading4">
    <w:name w:val="heading 4"/>
    <w:basedOn w:val="Normal"/>
    <w:next w:val="Normal"/>
    <w:link w:val="Heading4Char"/>
    <w:uiPriority w:val="9"/>
    <w:semiHidden/>
    <w:unhideWhenUsed/>
    <w:qFormat/>
    <w:rsid w:val="000004C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BE697C"/>
    <w:rPr>
      <w:b/>
      <w:bCs/>
    </w:rPr>
  </w:style>
  <w:style w:type="paragraph" w:styleId="NormalWeb">
    <w:name w:val="Normal (Web)"/>
    <w:basedOn w:val="Normal"/>
    <w:uiPriority w:val="99"/>
    <w:unhideWhenUsed/>
    <w:rsid w:val="00BE697C"/>
    <w:pPr>
      <w:spacing w:after="225"/>
      <w:ind w:left="0" w:firstLine="0"/>
    </w:pPr>
    <w:rPr>
      <w:rFonts w:ascii="Times New Roman" w:eastAsia="Times New Roman" w:hAnsi="Times New Roman" w:cs="Times New Roman"/>
      <w:sz w:val="24"/>
      <w:szCs w:val="24"/>
    </w:rPr>
  </w:style>
  <w:style w:type="paragraph" w:styleId="NoSpacing">
    <w:name w:val="No Spacing"/>
    <w:uiPriority w:val="1"/>
    <w:qFormat/>
    <w:rsid w:val="005208FB"/>
  </w:style>
  <w:style w:type="character" w:customStyle="1" w:styleId="element-citation">
    <w:name w:val="element-citation"/>
    <w:basedOn w:val="DefaultParagraphFont"/>
    <w:rsid w:val="0032556F"/>
  </w:style>
  <w:style w:type="character" w:customStyle="1" w:styleId="ref-journal">
    <w:name w:val="ref-journal"/>
    <w:basedOn w:val="DefaultParagraphFont"/>
    <w:rsid w:val="0032556F"/>
  </w:style>
  <w:style w:type="character" w:customStyle="1" w:styleId="ref-vol">
    <w:name w:val="ref-vol"/>
    <w:basedOn w:val="DefaultParagraphFont"/>
    <w:rsid w:val="0032556F"/>
  </w:style>
  <w:style w:type="character" w:customStyle="1" w:styleId="nowrap">
    <w:name w:val="nowrap"/>
    <w:basedOn w:val="DefaultParagraphFont"/>
    <w:rsid w:val="0032556F"/>
  </w:style>
  <w:style w:type="character" w:customStyle="1" w:styleId="A16">
    <w:name w:val="A16"/>
    <w:uiPriority w:val="99"/>
    <w:rsid w:val="00562BFC"/>
    <w:rPr>
      <w:rFonts w:cs="PWPDT M+ Frutiger"/>
      <w:color w:val="000000"/>
      <w:sz w:val="11"/>
      <w:szCs w:val="11"/>
    </w:rPr>
  </w:style>
  <w:style w:type="character" w:customStyle="1" w:styleId="Heading1Char">
    <w:name w:val="Heading 1 Char"/>
    <w:basedOn w:val="DefaultParagraphFont"/>
    <w:link w:val="Heading1"/>
    <w:uiPriority w:val="9"/>
    <w:rsid w:val="000004C8"/>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uiPriority w:val="9"/>
    <w:semiHidden/>
    <w:rsid w:val="000004C8"/>
    <w:rPr>
      <w:rFonts w:asciiTheme="majorHAnsi" w:eastAsiaTheme="majorEastAsia" w:hAnsiTheme="majorHAnsi" w:cstheme="majorBidi"/>
      <w:i/>
      <w:iCs/>
      <w:color w:val="365F91" w:themeColor="accent1" w:themeShade="BF"/>
    </w:rPr>
  </w:style>
  <w:style w:type="character" w:customStyle="1" w:styleId="highlight2">
    <w:name w:val="highlight2"/>
    <w:basedOn w:val="DefaultParagraphFont"/>
    <w:rsid w:val="000004C8"/>
  </w:style>
  <w:style w:type="character" w:customStyle="1" w:styleId="ui-ncbitoggler-master-text">
    <w:name w:val="ui-ncbitoggler-master-text"/>
    <w:basedOn w:val="DefaultParagraphFont"/>
    <w:rsid w:val="000004C8"/>
  </w:style>
  <w:style w:type="paragraph" w:customStyle="1" w:styleId="Pa1">
    <w:name w:val="Pa1"/>
    <w:basedOn w:val="Normal"/>
    <w:next w:val="Normal"/>
    <w:uiPriority w:val="99"/>
    <w:rsid w:val="00E3323C"/>
    <w:pPr>
      <w:autoSpaceDE w:val="0"/>
      <w:autoSpaceDN w:val="0"/>
      <w:adjustRightInd w:val="0"/>
      <w:spacing w:line="201" w:lineRule="atLeast"/>
      <w:ind w:left="0" w:firstLine="0"/>
    </w:pPr>
    <w:rPr>
      <w:rFonts w:ascii="PWPDT M+ Frutiger" w:hAnsi="PWPDT M+ Frutiger"/>
      <w:sz w:val="24"/>
      <w:szCs w:val="24"/>
    </w:rPr>
  </w:style>
  <w:style w:type="paragraph" w:customStyle="1" w:styleId="Pa23">
    <w:name w:val="Pa23"/>
    <w:basedOn w:val="Normal"/>
    <w:next w:val="Normal"/>
    <w:uiPriority w:val="99"/>
    <w:rsid w:val="00B32AA6"/>
    <w:pPr>
      <w:autoSpaceDE w:val="0"/>
      <w:autoSpaceDN w:val="0"/>
      <w:adjustRightInd w:val="0"/>
      <w:spacing w:line="221" w:lineRule="atLeast"/>
      <w:ind w:left="0" w:firstLine="0"/>
    </w:pPr>
    <w:rPr>
      <w:rFonts w:ascii="PWPDT M+ Trade Gothic" w:hAnsi="PWPDT M+ Trade Gothic"/>
      <w:sz w:val="24"/>
      <w:szCs w:val="24"/>
    </w:rPr>
  </w:style>
  <w:style w:type="paragraph" w:customStyle="1" w:styleId="Pa24">
    <w:name w:val="Pa24"/>
    <w:basedOn w:val="Normal"/>
    <w:next w:val="Normal"/>
    <w:uiPriority w:val="99"/>
    <w:rsid w:val="00B32AA6"/>
    <w:pPr>
      <w:autoSpaceDE w:val="0"/>
      <w:autoSpaceDN w:val="0"/>
      <w:adjustRightInd w:val="0"/>
      <w:spacing w:line="161" w:lineRule="atLeast"/>
      <w:ind w:left="0" w:firstLine="0"/>
    </w:pPr>
    <w:rPr>
      <w:rFonts w:ascii="PWPDT M+ Frutiger" w:hAnsi="PWPDT M+ Frutiger"/>
      <w:sz w:val="24"/>
      <w:szCs w:val="24"/>
    </w:rPr>
  </w:style>
  <w:style w:type="paragraph" w:customStyle="1" w:styleId="Default">
    <w:name w:val="Default"/>
    <w:rsid w:val="00081487"/>
    <w:pPr>
      <w:autoSpaceDE w:val="0"/>
      <w:autoSpaceDN w:val="0"/>
      <w:adjustRightInd w:val="0"/>
      <w:ind w:left="0" w:firstLine="0"/>
    </w:pPr>
    <w:rPr>
      <w:rFonts w:ascii="PWPDT M+ Frutiger" w:hAnsi="PWPDT M+ Frutiger" w:cs="PWPDT M+ Frutiger"/>
      <w:color w:val="000000"/>
      <w:sz w:val="24"/>
      <w:szCs w:val="24"/>
    </w:rPr>
  </w:style>
  <w:style w:type="character" w:customStyle="1" w:styleId="A17">
    <w:name w:val="A17"/>
    <w:uiPriority w:val="99"/>
    <w:rsid w:val="00081487"/>
    <w:rPr>
      <w:rFonts w:cs="PWPDT M+ Frutiger"/>
      <w:color w:val="57585A"/>
      <w:sz w:val="17"/>
      <w:szCs w:val="17"/>
    </w:rPr>
  </w:style>
  <w:style w:type="paragraph" w:customStyle="1" w:styleId="Pa32">
    <w:name w:val="Pa32"/>
    <w:basedOn w:val="Default"/>
    <w:next w:val="Default"/>
    <w:uiPriority w:val="99"/>
    <w:rsid w:val="00CA0B17"/>
    <w:pPr>
      <w:spacing w:line="161" w:lineRule="atLeast"/>
    </w:pPr>
    <w:rPr>
      <w:rFonts w:ascii="Frutiger 47LightCn" w:hAnsi="Frutiger 47LightCn" w:cstheme="minorBidi"/>
      <w:color w:val="auto"/>
    </w:rPr>
  </w:style>
  <w:style w:type="paragraph" w:customStyle="1" w:styleId="Pa39">
    <w:name w:val="Pa39"/>
    <w:basedOn w:val="Default"/>
    <w:next w:val="Default"/>
    <w:uiPriority w:val="99"/>
    <w:rsid w:val="00CA0B17"/>
    <w:pPr>
      <w:spacing w:line="161" w:lineRule="atLeast"/>
    </w:pPr>
    <w:rPr>
      <w:rFonts w:ascii="Frutiger 47LightCn" w:hAnsi="Frutiger 47LightCn"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426514">
      <w:bodyDiv w:val="1"/>
      <w:marLeft w:val="0"/>
      <w:marRight w:val="0"/>
      <w:marTop w:val="0"/>
      <w:marBottom w:val="0"/>
      <w:divBdr>
        <w:top w:val="none" w:sz="0" w:space="0" w:color="auto"/>
        <w:left w:val="none" w:sz="0" w:space="0" w:color="auto"/>
        <w:bottom w:val="none" w:sz="0" w:space="0" w:color="auto"/>
        <w:right w:val="none" w:sz="0" w:space="0" w:color="auto"/>
      </w:divBdr>
      <w:divsChild>
        <w:div w:id="901216885">
          <w:marLeft w:val="0"/>
          <w:marRight w:val="0"/>
          <w:marTop w:val="0"/>
          <w:marBottom w:val="0"/>
          <w:divBdr>
            <w:top w:val="none" w:sz="0" w:space="0" w:color="auto"/>
            <w:left w:val="none" w:sz="0" w:space="0" w:color="auto"/>
            <w:bottom w:val="none" w:sz="0" w:space="0" w:color="auto"/>
            <w:right w:val="none" w:sz="0" w:space="0" w:color="auto"/>
          </w:divBdr>
          <w:divsChild>
            <w:div w:id="1378627285">
              <w:marLeft w:val="0"/>
              <w:marRight w:val="0"/>
              <w:marTop w:val="0"/>
              <w:marBottom w:val="0"/>
              <w:divBdr>
                <w:top w:val="none" w:sz="0" w:space="0" w:color="auto"/>
                <w:left w:val="none" w:sz="0" w:space="0" w:color="auto"/>
                <w:bottom w:val="none" w:sz="0" w:space="0" w:color="auto"/>
                <w:right w:val="none" w:sz="0" w:space="0" w:color="auto"/>
              </w:divBdr>
              <w:divsChild>
                <w:div w:id="1465999092">
                  <w:marLeft w:val="0"/>
                  <w:marRight w:val="0"/>
                  <w:marTop w:val="0"/>
                  <w:marBottom w:val="0"/>
                  <w:divBdr>
                    <w:top w:val="none" w:sz="0" w:space="0" w:color="auto"/>
                    <w:left w:val="none" w:sz="0" w:space="0" w:color="auto"/>
                    <w:bottom w:val="none" w:sz="0" w:space="0" w:color="auto"/>
                    <w:right w:val="none" w:sz="0" w:space="0" w:color="auto"/>
                  </w:divBdr>
                  <w:divsChild>
                    <w:div w:id="2143499443">
                      <w:marLeft w:val="0"/>
                      <w:marRight w:val="0"/>
                      <w:marTop w:val="0"/>
                      <w:marBottom w:val="0"/>
                      <w:divBdr>
                        <w:top w:val="none" w:sz="0" w:space="0" w:color="auto"/>
                        <w:left w:val="none" w:sz="0" w:space="0" w:color="auto"/>
                        <w:bottom w:val="none" w:sz="0" w:space="0" w:color="auto"/>
                        <w:right w:val="none" w:sz="0" w:space="0" w:color="auto"/>
                      </w:divBdr>
                      <w:divsChild>
                        <w:div w:id="310599586">
                          <w:marLeft w:val="0"/>
                          <w:marRight w:val="0"/>
                          <w:marTop w:val="0"/>
                          <w:marBottom w:val="0"/>
                          <w:divBdr>
                            <w:top w:val="none" w:sz="0" w:space="0" w:color="auto"/>
                            <w:left w:val="none" w:sz="0" w:space="0" w:color="auto"/>
                            <w:bottom w:val="none" w:sz="0" w:space="0" w:color="auto"/>
                            <w:right w:val="none" w:sz="0" w:space="0" w:color="auto"/>
                          </w:divBdr>
                          <w:divsChild>
                            <w:div w:id="205168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0817573">
      <w:bodyDiv w:val="1"/>
      <w:marLeft w:val="0"/>
      <w:marRight w:val="0"/>
      <w:marTop w:val="0"/>
      <w:marBottom w:val="0"/>
      <w:divBdr>
        <w:top w:val="none" w:sz="0" w:space="0" w:color="auto"/>
        <w:left w:val="none" w:sz="0" w:space="0" w:color="auto"/>
        <w:bottom w:val="none" w:sz="0" w:space="0" w:color="auto"/>
        <w:right w:val="none" w:sz="0" w:space="0" w:color="auto"/>
      </w:divBdr>
      <w:divsChild>
        <w:div w:id="1218200028">
          <w:marLeft w:val="0"/>
          <w:marRight w:val="1"/>
          <w:marTop w:val="0"/>
          <w:marBottom w:val="0"/>
          <w:divBdr>
            <w:top w:val="none" w:sz="0" w:space="0" w:color="auto"/>
            <w:left w:val="none" w:sz="0" w:space="0" w:color="auto"/>
            <w:bottom w:val="none" w:sz="0" w:space="0" w:color="auto"/>
            <w:right w:val="none" w:sz="0" w:space="0" w:color="auto"/>
          </w:divBdr>
          <w:divsChild>
            <w:div w:id="329598359">
              <w:marLeft w:val="0"/>
              <w:marRight w:val="0"/>
              <w:marTop w:val="0"/>
              <w:marBottom w:val="0"/>
              <w:divBdr>
                <w:top w:val="none" w:sz="0" w:space="0" w:color="auto"/>
                <w:left w:val="none" w:sz="0" w:space="0" w:color="auto"/>
                <w:bottom w:val="none" w:sz="0" w:space="0" w:color="auto"/>
                <w:right w:val="none" w:sz="0" w:space="0" w:color="auto"/>
              </w:divBdr>
              <w:divsChild>
                <w:div w:id="684211788">
                  <w:marLeft w:val="0"/>
                  <w:marRight w:val="1"/>
                  <w:marTop w:val="0"/>
                  <w:marBottom w:val="0"/>
                  <w:divBdr>
                    <w:top w:val="none" w:sz="0" w:space="0" w:color="auto"/>
                    <w:left w:val="none" w:sz="0" w:space="0" w:color="auto"/>
                    <w:bottom w:val="none" w:sz="0" w:space="0" w:color="auto"/>
                    <w:right w:val="none" w:sz="0" w:space="0" w:color="auto"/>
                  </w:divBdr>
                  <w:divsChild>
                    <w:div w:id="699432700">
                      <w:marLeft w:val="0"/>
                      <w:marRight w:val="0"/>
                      <w:marTop w:val="0"/>
                      <w:marBottom w:val="0"/>
                      <w:divBdr>
                        <w:top w:val="none" w:sz="0" w:space="0" w:color="auto"/>
                        <w:left w:val="none" w:sz="0" w:space="0" w:color="auto"/>
                        <w:bottom w:val="none" w:sz="0" w:space="0" w:color="auto"/>
                        <w:right w:val="none" w:sz="0" w:space="0" w:color="auto"/>
                      </w:divBdr>
                      <w:divsChild>
                        <w:div w:id="1177038585">
                          <w:marLeft w:val="0"/>
                          <w:marRight w:val="0"/>
                          <w:marTop w:val="0"/>
                          <w:marBottom w:val="0"/>
                          <w:divBdr>
                            <w:top w:val="none" w:sz="0" w:space="0" w:color="auto"/>
                            <w:left w:val="none" w:sz="0" w:space="0" w:color="auto"/>
                            <w:bottom w:val="none" w:sz="0" w:space="0" w:color="auto"/>
                            <w:right w:val="none" w:sz="0" w:space="0" w:color="auto"/>
                          </w:divBdr>
                          <w:divsChild>
                            <w:div w:id="1088965122">
                              <w:marLeft w:val="0"/>
                              <w:marRight w:val="0"/>
                              <w:marTop w:val="120"/>
                              <w:marBottom w:val="360"/>
                              <w:divBdr>
                                <w:top w:val="none" w:sz="0" w:space="0" w:color="auto"/>
                                <w:left w:val="none" w:sz="0" w:space="0" w:color="auto"/>
                                <w:bottom w:val="none" w:sz="0" w:space="0" w:color="auto"/>
                                <w:right w:val="none" w:sz="0" w:space="0" w:color="auto"/>
                              </w:divBdr>
                              <w:divsChild>
                                <w:div w:id="1973750206">
                                  <w:marLeft w:val="0"/>
                                  <w:marRight w:val="0"/>
                                  <w:marTop w:val="0"/>
                                  <w:marBottom w:val="0"/>
                                  <w:divBdr>
                                    <w:top w:val="none" w:sz="0" w:space="0" w:color="auto"/>
                                    <w:left w:val="none" w:sz="0" w:space="0" w:color="auto"/>
                                    <w:bottom w:val="none" w:sz="0" w:space="0" w:color="auto"/>
                                    <w:right w:val="none" w:sz="0" w:space="0" w:color="auto"/>
                                  </w:divBdr>
                                </w:div>
                                <w:div w:id="1105612315">
                                  <w:marLeft w:val="0"/>
                                  <w:marRight w:val="0"/>
                                  <w:marTop w:val="0"/>
                                  <w:marBottom w:val="0"/>
                                  <w:divBdr>
                                    <w:top w:val="none" w:sz="0" w:space="0" w:color="auto"/>
                                    <w:left w:val="none" w:sz="0" w:space="0" w:color="auto"/>
                                    <w:bottom w:val="none" w:sz="0" w:space="0" w:color="auto"/>
                                    <w:right w:val="none" w:sz="0" w:space="0" w:color="auto"/>
                                  </w:divBdr>
                                </w:div>
                                <w:div w:id="553539742">
                                  <w:marLeft w:val="0"/>
                                  <w:marRight w:val="0"/>
                                  <w:marTop w:val="0"/>
                                  <w:marBottom w:val="0"/>
                                  <w:divBdr>
                                    <w:top w:val="none" w:sz="0" w:space="0" w:color="auto"/>
                                    <w:left w:val="none" w:sz="0" w:space="0" w:color="auto"/>
                                    <w:bottom w:val="none" w:sz="0" w:space="0" w:color="auto"/>
                                    <w:right w:val="none" w:sz="0" w:space="0" w:color="auto"/>
                                  </w:divBdr>
                                  <w:divsChild>
                                    <w:div w:id="1403091921">
                                      <w:marLeft w:val="0"/>
                                      <w:marRight w:val="0"/>
                                      <w:marTop w:val="0"/>
                                      <w:marBottom w:val="0"/>
                                      <w:divBdr>
                                        <w:top w:val="none" w:sz="0" w:space="0" w:color="auto"/>
                                        <w:left w:val="none" w:sz="0" w:space="0" w:color="auto"/>
                                        <w:bottom w:val="none" w:sz="0" w:space="0" w:color="auto"/>
                                        <w:right w:val="none" w:sz="0" w:space="0" w:color="auto"/>
                                      </w:divBdr>
                                    </w:div>
                                  </w:divsChild>
                                </w:div>
                                <w:div w:id="96950216">
                                  <w:marLeft w:val="0"/>
                                  <w:marRight w:val="0"/>
                                  <w:marTop w:val="0"/>
                                  <w:marBottom w:val="0"/>
                                  <w:divBdr>
                                    <w:top w:val="none" w:sz="0" w:space="0" w:color="auto"/>
                                    <w:left w:val="none" w:sz="0" w:space="0" w:color="auto"/>
                                    <w:bottom w:val="none" w:sz="0" w:space="0" w:color="auto"/>
                                    <w:right w:val="none" w:sz="0" w:space="0" w:color="auto"/>
                                  </w:divBdr>
                                  <w:divsChild>
                                    <w:div w:id="97644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3459742">
      <w:bodyDiv w:val="1"/>
      <w:marLeft w:val="0"/>
      <w:marRight w:val="0"/>
      <w:marTop w:val="0"/>
      <w:marBottom w:val="0"/>
      <w:divBdr>
        <w:top w:val="none" w:sz="0" w:space="0" w:color="auto"/>
        <w:left w:val="none" w:sz="0" w:space="0" w:color="auto"/>
        <w:bottom w:val="none" w:sz="0" w:space="0" w:color="auto"/>
        <w:right w:val="none" w:sz="0" w:space="0" w:color="auto"/>
      </w:divBdr>
      <w:divsChild>
        <w:div w:id="712583155">
          <w:marLeft w:val="0"/>
          <w:marRight w:val="0"/>
          <w:marTop w:val="0"/>
          <w:marBottom w:val="0"/>
          <w:divBdr>
            <w:top w:val="none" w:sz="0" w:space="0" w:color="auto"/>
            <w:left w:val="none" w:sz="0" w:space="0" w:color="auto"/>
            <w:bottom w:val="none" w:sz="0" w:space="0" w:color="auto"/>
            <w:right w:val="none" w:sz="0" w:space="0" w:color="auto"/>
          </w:divBdr>
          <w:divsChild>
            <w:div w:id="609778397">
              <w:marLeft w:val="0"/>
              <w:marRight w:val="0"/>
              <w:marTop w:val="0"/>
              <w:marBottom w:val="0"/>
              <w:divBdr>
                <w:top w:val="none" w:sz="0" w:space="0" w:color="auto"/>
                <w:left w:val="none" w:sz="0" w:space="0" w:color="auto"/>
                <w:bottom w:val="none" w:sz="0" w:space="0" w:color="auto"/>
                <w:right w:val="none" w:sz="0" w:space="0" w:color="auto"/>
              </w:divBdr>
              <w:divsChild>
                <w:div w:id="1375230042">
                  <w:marLeft w:val="0"/>
                  <w:marRight w:val="0"/>
                  <w:marTop w:val="0"/>
                  <w:marBottom w:val="0"/>
                  <w:divBdr>
                    <w:top w:val="none" w:sz="0" w:space="0" w:color="auto"/>
                    <w:left w:val="none" w:sz="0" w:space="0" w:color="auto"/>
                    <w:bottom w:val="none" w:sz="0" w:space="0" w:color="auto"/>
                    <w:right w:val="none" w:sz="0" w:space="0" w:color="auto"/>
                  </w:divBdr>
                  <w:divsChild>
                    <w:div w:id="316880088">
                      <w:marLeft w:val="0"/>
                      <w:marRight w:val="0"/>
                      <w:marTop w:val="0"/>
                      <w:marBottom w:val="0"/>
                      <w:divBdr>
                        <w:top w:val="none" w:sz="0" w:space="0" w:color="auto"/>
                        <w:left w:val="none" w:sz="0" w:space="0" w:color="auto"/>
                        <w:bottom w:val="none" w:sz="0" w:space="0" w:color="auto"/>
                        <w:right w:val="none" w:sz="0" w:space="0" w:color="auto"/>
                      </w:divBdr>
                      <w:divsChild>
                        <w:div w:id="1151673931">
                          <w:marLeft w:val="0"/>
                          <w:marRight w:val="0"/>
                          <w:marTop w:val="0"/>
                          <w:marBottom w:val="0"/>
                          <w:divBdr>
                            <w:top w:val="none" w:sz="0" w:space="0" w:color="auto"/>
                            <w:left w:val="none" w:sz="0" w:space="0" w:color="auto"/>
                            <w:bottom w:val="none" w:sz="0" w:space="0" w:color="auto"/>
                            <w:right w:val="none" w:sz="0" w:space="0" w:color="auto"/>
                          </w:divBdr>
                          <w:divsChild>
                            <w:div w:id="1176923162">
                              <w:marLeft w:val="0"/>
                              <w:marRight w:val="0"/>
                              <w:marTop w:val="225"/>
                              <w:marBottom w:val="225"/>
                              <w:divBdr>
                                <w:top w:val="none" w:sz="0" w:space="0" w:color="auto"/>
                                <w:left w:val="none" w:sz="0" w:space="0" w:color="auto"/>
                                <w:bottom w:val="none" w:sz="0" w:space="0" w:color="auto"/>
                                <w:right w:val="none" w:sz="0" w:space="0" w:color="auto"/>
                              </w:divBdr>
                              <w:divsChild>
                                <w:div w:id="3185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2336976">
      <w:bodyDiv w:val="1"/>
      <w:marLeft w:val="0"/>
      <w:marRight w:val="0"/>
      <w:marTop w:val="0"/>
      <w:marBottom w:val="0"/>
      <w:divBdr>
        <w:top w:val="none" w:sz="0" w:space="0" w:color="auto"/>
        <w:left w:val="none" w:sz="0" w:space="0" w:color="auto"/>
        <w:bottom w:val="none" w:sz="0" w:space="0" w:color="auto"/>
        <w:right w:val="none" w:sz="0" w:space="0" w:color="auto"/>
      </w:divBdr>
      <w:divsChild>
        <w:div w:id="3286027">
          <w:marLeft w:val="0"/>
          <w:marRight w:val="0"/>
          <w:marTop w:val="0"/>
          <w:marBottom w:val="0"/>
          <w:divBdr>
            <w:top w:val="none" w:sz="0" w:space="0" w:color="auto"/>
            <w:left w:val="none" w:sz="0" w:space="0" w:color="auto"/>
            <w:bottom w:val="none" w:sz="0" w:space="0" w:color="auto"/>
            <w:right w:val="none" w:sz="0" w:space="0" w:color="auto"/>
          </w:divBdr>
          <w:divsChild>
            <w:div w:id="289745362">
              <w:marLeft w:val="0"/>
              <w:marRight w:val="0"/>
              <w:marTop w:val="0"/>
              <w:marBottom w:val="0"/>
              <w:divBdr>
                <w:top w:val="none" w:sz="0" w:space="0" w:color="auto"/>
                <w:left w:val="none" w:sz="0" w:space="0" w:color="auto"/>
                <w:bottom w:val="none" w:sz="0" w:space="0" w:color="auto"/>
                <w:right w:val="none" w:sz="0" w:space="0" w:color="auto"/>
              </w:divBdr>
              <w:divsChild>
                <w:div w:id="453014513">
                  <w:marLeft w:val="0"/>
                  <w:marRight w:val="0"/>
                  <w:marTop w:val="0"/>
                  <w:marBottom w:val="0"/>
                  <w:divBdr>
                    <w:top w:val="none" w:sz="0" w:space="0" w:color="auto"/>
                    <w:left w:val="none" w:sz="0" w:space="0" w:color="auto"/>
                    <w:bottom w:val="none" w:sz="0" w:space="0" w:color="auto"/>
                    <w:right w:val="none" w:sz="0" w:space="0" w:color="auto"/>
                  </w:divBdr>
                  <w:divsChild>
                    <w:div w:id="1948385314">
                      <w:marLeft w:val="0"/>
                      <w:marRight w:val="0"/>
                      <w:marTop w:val="0"/>
                      <w:marBottom w:val="0"/>
                      <w:divBdr>
                        <w:top w:val="none" w:sz="0" w:space="0" w:color="auto"/>
                        <w:left w:val="none" w:sz="0" w:space="0" w:color="auto"/>
                        <w:bottom w:val="none" w:sz="0" w:space="0" w:color="auto"/>
                        <w:right w:val="none" w:sz="0" w:space="0" w:color="auto"/>
                      </w:divBdr>
                      <w:divsChild>
                        <w:div w:id="91451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632050">
      <w:bodyDiv w:val="1"/>
      <w:marLeft w:val="0"/>
      <w:marRight w:val="0"/>
      <w:marTop w:val="0"/>
      <w:marBottom w:val="0"/>
      <w:divBdr>
        <w:top w:val="none" w:sz="0" w:space="0" w:color="auto"/>
        <w:left w:val="none" w:sz="0" w:space="0" w:color="auto"/>
        <w:bottom w:val="none" w:sz="0" w:space="0" w:color="auto"/>
        <w:right w:val="none" w:sz="0" w:space="0" w:color="auto"/>
      </w:divBdr>
      <w:divsChild>
        <w:div w:id="1153329993">
          <w:marLeft w:val="0"/>
          <w:marRight w:val="0"/>
          <w:marTop w:val="0"/>
          <w:marBottom w:val="0"/>
          <w:divBdr>
            <w:top w:val="none" w:sz="0" w:space="0" w:color="auto"/>
            <w:left w:val="none" w:sz="0" w:space="0" w:color="auto"/>
            <w:bottom w:val="none" w:sz="0" w:space="0" w:color="auto"/>
            <w:right w:val="none" w:sz="0" w:space="0" w:color="auto"/>
          </w:divBdr>
          <w:divsChild>
            <w:div w:id="2088533626">
              <w:marLeft w:val="0"/>
              <w:marRight w:val="0"/>
              <w:marTop w:val="0"/>
              <w:marBottom w:val="0"/>
              <w:divBdr>
                <w:top w:val="none" w:sz="0" w:space="0" w:color="auto"/>
                <w:left w:val="none" w:sz="0" w:space="0" w:color="auto"/>
                <w:bottom w:val="none" w:sz="0" w:space="0" w:color="auto"/>
                <w:right w:val="none" w:sz="0" w:space="0" w:color="auto"/>
              </w:divBdr>
              <w:divsChild>
                <w:div w:id="799495531">
                  <w:marLeft w:val="0"/>
                  <w:marRight w:val="0"/>
                  <w:marTop w:val="0"/>
                  <w:marBottom w:val="0"/>
                  <w:divBdr>
                    <w:top w:val="none" w:sz="0" w:space="0" w:color="auto"/>
                    <w:left w:val="none" w:sz="0" w:space="0" w:color="auto"/>
                    <w:bottom w:val="none" w:sz="0" w:space="0" w:color="auto"/>
                    <w:right w:val="none" w:sz="0" w:space="0" w:color="auto"/>
                  </w:divBdr>
                  <w:divsChild>
                    <w:div w:id="489685116">
                      <w:marLeft w:val="0"/>
                      <w:marRight w:val="0"/>
                      <w:marTop w:val="0"/>
                      <w:marBottom w:val="0"/>
                      <w:divBdr>
                        <w:top w:val="none" w:sz="0" w:space="0" w:color="auto"/>
                        <w:left w:val="none" w:sz="0" w:space="0" w:color="auto"/>
                        <w:bottom w:val="none" w:sz="0" w:space="0" w:color="auto"/>
                        <w:right w:val="none" w:sz="0" w:space="0" w:color="auto"/>
                      </w:divBdr>
                      <w:divsChild>
                        <w:div w:id="63938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hyperlink" Target="https://aidsinfo.nih.gov/guidelines/html/1/adult-and-adolescent-arv-guidelines/458/plasma-hiv-1-rna--viral-load--and-cd4-count-monitoring" TargetMode="External"/><Relationship Id="rId26" Type="http://schemas.openxmlformats.org/officeDocument/2006/relationships/hyperlink" Target="http://www.ncbi.nlm.nih.gov/pmc/articles/PMC4701030/" TargetMode="External"/><Relationship Id="rId39" Type="http://schemas.openxmlformats.org/officeDocument/2006/relationships/hyperlink" Target="http://www.ncbi.nlm.nih.gov/pubmed/?term=Dombrowski%20JC%5BAuthor%5D&amp;cauthor=true&amp;cauthor_uid=27100761" TargetMode="External"/><Relationship Id="rId3" Type="http://schemas.openxmlformats.org/officeDocument/2006/relationships/customXml" Target="../customXml/item3.xml"/><Relationship Id="rId21" Type="http://schemas.openxmlformats.org/officeDocument/2006/relationships/hyperlink" Target="http://www.who.int/hiv/pub/arv/arv-2016/en/" TargetMode="External"/><Relationship Id="rId34" Type="http://schemas.openxmlformats.org/officeDocument/2006/relationships/hyperlink" Target="http://ac.els-cdn.com/S0140673610609361/1-s2.0-S0140673610609361-main.pdf?_tid=66694382-3d5e-11e6-9b28-00000aacb35f&amp;acdnat=1467138813_3ed05502613bbae3ffd53790c929bd6d" TargetMode="External"/><Relationship Id="rId42" Type="http://schemas.openxmlformats.org/officeDocument/2006/relationships/hyperlink" Target="http://www.ncbi.nlm.nih.gov/pmc/articles/PMC4357270/" TargetMode="Externa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5" Type="http://schemas.openxmlformats.org/officeDocument/2006/relationships/hyperlink" Target="https://aidsinfo.nih.gov/guidelines/html/1/adult-and-adolescent-arv-guidelines/458/plasma-hiv-1-rna--viral-load--and-cd4-count-monitoring" TargetMode="External"/><Relationship Id="rId33" Type="http://schemas.openxmlformats.org/officeDocument/2006/relationships/hyperlink" Target="http://www.cdc.gov/hiv/topics/surveillance/resources/factsheets/viral_load.htm.%20Published%20on%202012" TargetMode="External"/><Relationship Id="rId38" Type="http://schemas.openxmlformats.org/officeDocument/2006/relationships/hyperlink" Target="http://www.ncbi.nlm.nih.gov/pubmed/?term=Bennett%20AB%5BAuthor%5D&amp;cauthor=true&amp;cauthor_uid=27100761" TargetMode="External"/><Relationship Id="rId46"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hyperlink" Target="http://www.who.int/entity/hiv/pub/arv/arv-2016/en/index.html" TargetMode="External"/><Relationship Id="rId29" Type="http://schemas.openxmlformats.org/officeDocument/2006/relationships/hyperlink" Target="http://apps.who.int/iris/bitstream/10665/189977/1/WHO_HIV_2015.36_eng.pdf?ua=1" TargetMode="External"/><Relationship Id="rId41" Type="http://schemas.openxmlformats.org/officeDocument/2006/relationships/hyperlink" Target="http://www.ncbi.nlm.nih.gov/pubmed/2710076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aidsinfo.nih.gov/guidelines/html/1/adult-and-adolescent-arv-guidelines/15/virologic-failure" TargetMode="External"/><Relationship Id="rId32" Type="http://schemas.openxmlformats.org/officeDocument/2006/relationships/hyperlink" Target="http://www.cdc.gov/hiv/pdf/library_factsheet_Using_viral_load_data_feb_2013.pdf" TargetMode="External"/><Relationship Id="rId37" Type="http://schemas.openxmlformats.org/officeDocument/2006/relationships/hyperlink" Target="http://www.ncbi.nlm.nih.gov/pubmed/?term=Golden%20MR%5BAuthor%5D&amp;cauthor=true&amp;cauthor_uid=27100761" TargetMode="External"/><Relationship Id="rId40" Type="http://schemas.openxmlformats.org/officeDocument/2006/relationships/hyperlink" Target="http://www.ncbi.nlm.nih.gov/pubmed/?term=Buskin%20SE%5BAuthor%5D&amp;cauthor=true&amp;cauthor_uid=27100761"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gradeworkinggroup.org/publications/index.htm" TargetMode="External"/><Relationship Id="rId23" Type="http://schemas.openxmlformats.org/officeDocument/2006/relationships/hyperlink" Target="https://aidsinfo.nih.gov/guidelines/html/1/adult-and-adolescent-arv-guidelines/20/acute-and-recent--early--hiv-infection" TargetMode="External"/><Relationship Id="rId28" Type="http://schemas.openxmlformats.org/officeDocument/2006/relationships/hyperlink" Target="http://apps.who.int/iris/bitstream/10665/189977/1/WHO_HIV_2015.36_eng.pdf?ua=1" TargetMode="External"/><Relationship Id="rId36" Type="http://schemas.openxmlformats.org/officeDocument/2006/relationships/hyperlink" Target="http://www.ncbi.nlm.nih.gov/pmc/articles/PMC3922718/" TargetMode="External"/><Relationship Id="rId10" Type="http://schemas.openxmlformats.org/officeDocument/2006/relationships/footnotes" Target="footnotes.xml"/><Relationship Id="rId19" Type="http://schemas.openxmlformats.org/officeDocument/2006/relationships/hyperlink" Target="http://aidsinfo.nih.gov/contentfiles/lvguidelines/AdultandAdolescentGL.pdf" TargetMode="External"/><Relationship Id="rId31" Type="http://schemas.openxmlformats.org/officeDocument/2006/relationships/hyperlink" Target="http://www.ct.gov/dph/lib/dph/aids_and_chronic/surveillance/statewide/community_viralload_guidance.pdf"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openxmlformats.org/officeDocument/2006/relationships/hyperlink" Target="https://aidsinfo.nih.gov/guidelines/html/1/adult-and-adolescent-arv-guidelines/10/initiation-of-antiretroviral-therapy" TargetMode="External"/><Relationship Id="rId27" Type="http://schemas.openxmlformats.org/officeDocument/2006/relationships/hyperlink" Target="http://apps.who.int/iris/bitstream/10665/189977/1/WHO_HIV_2015.36_eng.pdf?ua=1" TargetMode="External"/><Relationship Id="rId30" Type="http://schemas.openxmlformats.org/officeDocument/2006/relationships/hyperlink" Target="https://stacks.cdc.gov/view/cdc/28147" TargetMode="External"/><Relationship Id="rId35" Type="http://schemas.openxmlformats.org/officeDocument/2006/relationships/hyperlink" Target="http://www.ncbi.nlm.nih.gov/pmc/articles/PMC2996043/" TargetMode="External"/><Relationship Id="rId43"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962214A8263E430591B9ED4CADA7154B"/>
        <w:category>
          <w:name w:val="General"/>
          <w:gallery w:val="placeholder"/>
        </w:category>
        <w:types>
          <w:type w:val="bbPlcHdr"/>
        </w:types>
        <w:behaviors>
          <w:behavior w:val="content"/>
        </w:behaviors>
        <w:guid w:val="{6E3CE5A7-29EC-4E89-8AC1-E9F841A8DE65}"/>
      </w:docPartPr>
      <w:docPartBody>
        <w:p w:rsidR="00296D1C" w:rsidRDefault="005F21F3" w:rsidP="005F21F3">
          <w:pPr>
            <w:pStyle w:val="962214A8263E430591B9ED4CADA7154B"/>
          </w:pPr>
          <w:r w:rsidRPr="003B1CC5">
            <w:rPr>
              <w:color w:val="A6A6A6" w:themeColor="background1" w:themeShade="A6"/>
            </w:rPr>
            <w:t>Click here to n</w:t>
          </w:r>
          <w:r w:rsidRPr="003B1CC5">
            <w:rPr>
              <w:rStyle w:val="PlaceholderText"/>
              <w:rFonts w:cstheme="minorHAnsi"/>
              <w:color w:val="A6A6A6" w:themeColor="background1" w:themeShade="A6"/>
            </w:rPr>
            <w:t xml:space="preserve">ame the </w:t>
          </w:r>
          <w:r>
            <w:rPr>
              <w:rStyle w:val="PlaceholderText"/>
              <w:rFonts w:cstheme="minorHAnsi"/>
              <w:color w:val="A6A6A6" w:themeColor="background1" w:themeShade="A6"/>
            </w:rPr>
            <w:t>PRO</w:t>
          </w:r>
        </w:p>
      </w:docPartBody>
    </w:docPart>
    <w:docPart>
      <w:docPartPr>
        <w:name w:val="E6591F349A1C4AD8ACEDABFD4F4F9C16"/>
        <w:category>
          <w:name w:val="General"/>
          <w:gallery w:val="placeholder"/>
        </w:category>
        <w:types>
          <w:type w:val="bbPlcHdr"/>
        </w:types>
        <w:behaviors>
          <w:behavior w:val="content"/>
        </w:behaviors>
        <w:guid w:val="{BCFDAF91-D17F-4E94-B2F0-D2E6717493BA}"/>
      </w:docPartPr>
      <w:docPartBody>
        <w:p w:rsidR="004A172F" w:rsidRDefault="004A172F" w:rsidP="004A172F">
          <w:pPr>
            <w:pStyle w:val="E6591F349A1C4AD8ACEDABFD4F4F9C16"/>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WPDT M+ Frutiger">
    <w:altName w:val="Frutiger"/>
    <w:panose1 w:val="00000000000000000000"/>
    <w:charset w:val="00"/>
    <w:family w:val="swiss"/>
    <w:notTrueType/>
    <w:pitch w:val="default"/>
    <w:sig w:usb0="00000003" w:usb1="00000000" w:usb2="00000000" w:usb3="00000000" w:csb0="00000001" w:csb1="00000000"/>
  </w:font>
  <w:font w:name="PWPDT M+ Trade Gothic">
    <w:altName w:val="Trade Gothic"/>
    <w:panose1 w:val="00000000000000000000"/>
    <w:charset w:val="00"/>
    <w:family w:val="swiss"/>
    <w:notTrueType/>
    <w:pitch w:val="default"/>
    <w:sig w:usb0="00000003" w:usb1="00000000" w:usb2="00000000" w:usb3="00000000" w:csb0="00000001" w:csb1="00000000"/>
  </w:font>
  <w:font w:name="Frutiger 47LightCn">
    <w:altName w:val="Frutiger 47LightCn"/>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Condensed-Bold">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Narrow-Bold">
    <w:panose1 w:val="00000000000000000000"/>
    <w:charset w:val="00"/>
    <w:family w:val="swiss"/>
    <w:notTrueType/>
    <w:pitch w:val="default"/>
    <w:sig w:usb0="00000003" w:usb1="00000000" w:usb2="00000000" w:usb3="00000000" w:csb0="00000001" w:csb1="00000000"/>
  </w:font>
  <w:font w:name="Myriad Pro Cond">
    <w:altName w:val="MS Gothic"/>
    <w:panose1 w:val="00000000000000000000"/>
    <w:charset w:val="80"/>
    <w:family w:val="swiss"/>
    <w:notTrueType/>
    <w:pitch w:val="default"/>
    <w:sig w:usb0="00000000" w:usb1="08070000" w:usb2="00000010" w:usb3="00000000" w:csb0="00020001" w:csb1="00000000"/>
  </w:font>
  <w:font w:name="ArialNarrow-BoldItalic">
    <w:panose1 w:val="00000000000000000000"/>
    <w:charset w:val="00"/>
    <w:family w:val="swiss"/>
    <w:notTrueType/>
    <w:pitch w:val="default"/>
    <w:sig w:usb0="00000003" w:usb1="00000000" w:usb2="00000000" w:usb3="00000000" w:csb0="00000001" w:csb1="00000000"/>
  </w:font>
  <w:font w:name="ArialNarrow">
    <w:panose1 w:val="00000000000000000000"/>
    <w:charset w:val="00"/>
    <w:family w:val="swiss"/>
    <w:notTrueType/>
    <w:pitch w:val="default"/>
    <w:sig w:usb0="00000003" w:usb1="00000000" w:usb2="00000000" w:usb3="00000000" w:csb0="00000001" w:csb1="00000000"/>
  </w:font>
  <w:font w:name="Helvetica-Bold">
    <w:panose1 w:val="00000000000000000000"/>
    <w:charset w:val="00"/>
    <w:family w:val="swiss"/>
    <w:notTrueType/>
    <w:pitch w:val="default"/>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 w:name="Frutiger-Cn">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96D1C"/>
    <w:rsid w:val="002B5F47"/>
    <w:rsid w:val="00376875"/>
    <w:rsid w:val="003A1E4B"/>
    <w:rsid w:val="00434461"/>
    <w:rsid w:val="00455EB5"/>
    <w:rsid w:val="00461C1C"/>
    <w:rsid w:val="004A172F"/>
    <w:rsid w:val="004E2027"/>
    <w:rsid w:val="00565C0F"/>
    <w:rsid w:val="00572991"/>
    <w:rsid w:val="0058200F"/>
    <w:rsid w:val="005A36BB"/>
    <w:rsid w:val="005C27E1"/>
    <w:rsid w:val="005F21F3"/>
    <w:rsid w:val="00623FBA"/>
    <w:rsid w:val="006351FC"/>
    <w:rsid w:val="0067568D"/>
    <w:rsid w:val="006E76EB"/>
    <w:rsid w:val="007C0860"/>
    <w:rsid w:val="008C2B2B"/>
    <w:rsid w:val="008F6A9B"/>
    <w:rsid w:val="00915B57"/>
    <w:rsid w:val="009F7925"/>
    <w:rsid w:val="00A964B6"/>
    <w:rsid w:val="00BE0F2D"/>
    <w:rsid w:val="00C03643"/>
    <w:rsid w:val="00C24E8C"/>
    <w:rsid w:val="00C2797F"/>
    <w:rsid w:val="00C80225"/>
    <w:rsid w:val="00D228C9"/>
    <w:rsid w:val="00DB5324"/>
    <w:rsid w:val="00E9711A"/>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E6BEA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A172F"/>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E6591F349A1C4AD8ACEDABFD4F4F9C16">
    <w:name w:val="E6591F349A1C4AD8ACEDABFD4F4F9C16"/>
    <w:rsid w:val="004A172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92D58-06B4-49AA-92D5-252B9CAF8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9019EE-8EAD-4F5B-BC1F-DA9C83D376BB}">
  <ds:schemaRefs>
    <ds:schemaRef ds:uri="http://schemas.microsoft.com/sharepoint/events"/>
  </ds:schemaRefs>
</ds:datastoreItem>
</file>

<file path=customXml/itemProps3.xml><?xml version="1.0" encoding="utf-8"?>
<ds:datastoreItem xmlns:ds="http://schemas.openxmlformats.org/officeDocument/2006/customXml" ds:itemID="{7D1B7F60-9890-4314-950D-C50DCBD6061D}">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8BBEEAEC-DEE0-46E0-9197-27687FB79EF2}">
  <ds:schemaRefs>
    <ds:schemaRef ds:uri="http://schemas.microsoft.com/sharepoint/v3/contenttype/forms"/>
  </ds:schemaRefs>
</ds:datastoreItem>
</file>

<file path=customXml/itemProps5.xml><?xml version="1.0" encoding="utf-8"?>
<ds:datastoreItem xmlns:ds="http://schemas.openxmlformats.org/officeDocument/2006/customXml" ds:itemID="{DA75E93C-40A2-4ECE-9A7B-7973C81BF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10486</Words>
  <Characters>59771</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Evidence Attachment</vt:lpstr>
    </vt:vector>
  </TitlesOfParts>
  <Company>National Quality Forum</Company>
  <LinksUpToDate>false</LinksUpToDate>
  <CharactersWithSpaces>70117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Attachment</dc:title>
  <dc:creator>Karen Pace</dc:creator>
  <cp:lastModifiedBy>Lyon, Wendy (CDC/OID/NCHHSTP)</cp:lastModifiedBy>
  <cp:revision>3</cp:revision>
  <cp:lastPrinted>2016-07-07T22:00:00Z</cp:lastPrinted>
  <dcterms:created xsi:type="dcterms:W3CDTF">2016-07-07T21:57:00Z</dcterms:created>
  <dcterms:modified xsi:type="dcterms:W3CDTF">2016-07-07T21:59:00Z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